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D8" w:rsidRPr="008230B7" w:rsidRDefault="00AC69D8" w:rsidP="00BE1D0E">
      <w:pPr>
        <w:pStyle w:val="NoSpacing"/>
        <w:jc w:val="both"/>
        <w:rPr>
          <w:rFonts w:ascii="Times New Roman" w:hAnsi="Times New Roman" w:cs="Times New Roman"/>
          <w:b/>
          <w:lang w:val="en-US"/>
        </w:rPr>
      </w:pPr>
      <w:bookmarkStart w:id="0" w:name="_GoBack"/>
      <w:bookmarkEnd w:id="0"/>
    </w:p>
    <w:p w:rsidR="00AC69D8" w:rsidRPr="007603A3" w:rsidRDefault="00AC69D8" w:rsidP="00657906">
      <w:pPr>
        <w:pStyle w:val="NoSpacing"/>
        <w:jc w:val="center"/>
        <w:rPr>
          <w:rFonts w:ascii="Times New Roman" w:hAnsi="Times New Roman" w:cs="Times New Roman"/>
          <w:b/>
        </w:rPr>
      </w:pPr>
      <w:r>
        <w:rPr>
          <w:rFonts w:ascii="Times New Roman" w:hAnsi="Times New Roman" w:cs="Times New Roman"/>
          <w:b/>
        </w:rPr>
        <w:t>ДОПЪЛНИТЕЛНО СПОРАЗУМЕНИЕ № 1</w:t>
      </w:r>
      <w:r w:rsidRPr="007603A3">
        <w:rPr>
          <w:rFonts w:ascii="Times New Roman" w:hAnsi="Times New Roman" w:cs="Times New Roman"/>
          <w:b/>
        </w:rPr>
        <w:t xml:space="preserve"> </w:t>
      </w:r>
    </w:p>
    <w:p w:rsidR="00AC69D8" w:rsidRPr="007603A3" w:rsidRDefault="00AC69D8" w:rsidP="00BE1D0E">
      <w:pPr>
        <w:pStyle w:val="NoSpacing"/>
        <w:jc w:val="center"/>
        <w:rPr>
          <w:rFonts w:ascii="Times New Roman" w:hAnsi="Times New Roman" w:cs="Times New Roman"/>
          <w:b/>
        </w:rPr>
      </w:pPr>
      <w:bookmarkStart w:id="1" w:name="bookmark1"/>
      <w:r w:rsidRPr="007603A3">
        <w:rPr>
          <w:rFonts w:ascii="Times New Roman" w:hAnsi="Times New Roman" w:cs="Times New Roman"/>
          <w:b/>
        </w:rPr>
        <w:t>към</w:t>
      </w:r>
      <w:bookmarkEnd w:id="1"/>
    </w:p>
    <w:p w:rsidR="00AC69D8" w:rsidRPr="00C50D69" w:rsidRDefault="00AC69D8" w:rsidP="00C50D69">
      <w:pPr>
        <w:pStyle w:val="NoSpacing"/>
        <w:jc w:val="center"/>
        <w:rPr>
          <w:rFonts w:ascii="Times New Roman" w:hAnsi="Times New Roman" w:cs="Times New Roman"/>
          <w:b/>
        </w:rPr>
      </w:pPr>
      <w:r w:rsidRPr="007603A3">
        <w:rPr>
          <w:rFonts w:ascii="Times New Roman" w:hAnsi="Times New Roman" w:cs="Times New Roman"/>
          <w:b/>
        </w:rPr>
        <w:t xml:space="preserve">Договор </w:t>
      </w:r>
      <w:r>
        <w:rPr>
          <w:rFonts w:ascii="Times New Roman" w:hAnsi="Times New Roman" w:cs="Times New Roman"/>
          <w:b/>
        </w:rPr>
        <w:t>за стопанисване, поддържане и експлоатация на ВиК системите и съоръженията и предоставяне на водоснабдителни и канализационни</w:t>
      </w:r>
      <w:r w:rsidRPr="00C50D69">
        <w:rPr>
          <w:rFonts w:ascii="Times New Roman" w:hAnsi="Times New Roman" w:cs="Times New Roman"/>
          <w:b/>
        </w:rPr>
        <w:t xml:space="preserve"> </w:t>
      </w:r>
      <w:r>
        <w:rPr>
          <w:rFonts w:ascii="Times New Roman" w:hAnsi="Times New Roman" w:cs="Times New Roman"/>
          <w:b/>
        </w:rPr>
        <w:t xml:space="preserve">услуги </w:t>
      </w:r>
      <w:r w:rsidRPr="007603A3">
        <w:rPr>
          <w:rFonts w:ascii="Times New Roman" w:hAnsi="Times New Roman" w:cs="Times New Roman"/>
          <w:b/>
        </w:rPr>
        <w:t xml:space="preserve">от </w:t>
      </w:r>
      <w:r>
        <w:rPr>
          <w:rFonts w:ascii="Times New Roman" w:hAnsi="Times New Roman" w:cs="Times New Roman"/>
          <w:b/>
        </w:rPr>
        <w:t>11.03.</w:t>
      </w:r>
      <w:r w:rsidRPr="00F6319D">
        <w:rPr>
          <w:rFonts w:ascii="Times New Roman" w:hAnsi="Times New Roman" w:cs="Times New Roman"/>
          <w:b/>
        </w:rPr>
        <w:t>2016</w:t>
      </w:r>
      <w:r w:rsidRPr="007603A3">
        <w:rPr>
          <w:rFonts w:ascii="Times New Roman" w:hAnsi="Times New Roman" w:cs="Times New Roman"/>
          <w:b/>
        </w:rPr>
        <w:t xml:space="preserve"> г</w:t>
      </w:r>
      <w:r>
        <w:rPr>
          <w:rFonts w:ascii="Times New Roman" w:hAnsi="Times New Roman" w:cs="Times New Roman"/>
          <w:b/>
        </w:rPr>
        <w:t>.</w:t>
      </w:r>
    </w:p>
    <w:p w:rsidR="00AC69D8" w:rsidRPr="00573232" w:rsidRDefault="00AC69D8" w:rsidP="00BE1D0E">
      <w:pPr>
        <w:pStyle w:val="NoSpacing"/>
        <w:jc w:val="both"/>
        <w:rPr>
          <w:rFonts w:ascii="Times New Roman" w:hAnsi="Times New Roman" w:cs="Times New Roman"/>
          <w:b/>
          <w:lang w:val="ru-RU"/>
        </w:rPr>
      </w:pPr>
    </w:p>
    <w:p w:rsidR="00AC69D8" w:rsidRPr="007603A3" w:rsidRDefault="00AC69D8" w:rsidP="00BE1D0E">
      <w:pPr>
        <w:pStyle w:val="20"/>
        <w:shd w:val="clear" w:color="auto" w:fill="auto"/>
        <w:spacing w:before="0" w:after="0" w:line="240" w:lineRule="auto"/>
        <w:ind w:firstLine="720"/>
        <w:jc w:val="both"/>
        <w:rPr>
          <w:b w:val="0"/>
          <w:sz w:val="24"/>
          <w:szCs w:val="24"/>
        </w:rPr>
      </w:pPr>
      <w:r w:rsidRPr="007603A3">
        <w:rPr>
          <w:b w:val="0"/>
          <w:sz w:val="24"/>
          <w:szCs w:val="24"/>
        </w:rPr>
        <w:t>Днес</w:t>
      </w:r>
      <w:r w:rsidRPr="00934D22">
        <w:rPr>
          <w:b w:val="0"/>
          <w:sz w:val="24"/>
          <w:szCs w:val="24"/>
          <w:lang w:val="ru-RU"/>
        </w:rPr>
        <w:t xml:space="preserve"> </w:t>
      </w:r>
      <w:r w:rsidRPr="007603A3">
        <w:rPr>
          <w:b w:val="0"/>
          <w:sz w:val="24"/>
          <w:szCs w:val="24"/>
        </w:rPr>
        <w:t>…………………</w:t>
      </w:r>
      <w:r w:rsidR="00DB3A94">
        <w:rPr>
          <w:b w:val="0"/>
          <w:sz w:val="24"/>
          <w:szCs w:val="24"/>
        </w:rPr>
        <w:t>……</w:t>
      </w:r>
      <w:r w:rsidRPr="007603A3">
        <w:rPr>
          <w:b w:val="0"/>
          <w:sz w:val="24"/>
          <w:szCs w:val="24"/>
        </w:rPr>
        <w:t xml:space="preserve"> г.</w:t>
      </w:r>
      <w:r>
        <w:rPr>
          <w:b w:val="0"/>
          <w:sz w:val="24"/>
          <w:szCs w:val="24"/>
        </w:rPr>
        <w:t xml:space="preserve">, в гр. …………….., </w:t>
      </w:r>
      <w:r w:rsidRPr="007603A3">
        <w:rPr>
          <w:b w:val="0"/>
          <w:sz w:val="24"/>
          <w:szCs w:val="24"/>
        </w:rPr>
        <w:t xml:space="preserve"> между</w:t>
      </w:r>
      <w:r>
        <w:rPr>
          <w:b w:val="0"/>
          <w:sz w:val="24"/>
          <w:szCs w:val="24"/>
        </w:rPr>
        <w:t xml:space="preserve"> страните по Договора</w:t>
      </w:r>
      <w:r w:rsidRPr="007603A3">
        <w:rPr>
          <w:b w:val="0"/>
          <w:sz w:val="24"/>
          <w:szCs w:val="24"/>
        </w:rPr>
        <w:t>:</w:t>
      </w:r>
    </w:p>
    <w:p w:rsidR="00AC69D8" w:rsidRPr="007603A3" w:rsidRDefault="00AC69D8" w:rsidP="00BE1D0E">
      <w:pPr>
        <w:pStyle w:val="20"/>
        <w:shd w:val="clear" w:color="auto" w:fill="auto"/>
        <w:spacing w:before="0" w:after="0" w:line="240" w:lineRule="auto"/>
        <w:ind w:firstLine="720"/>
        <w:jc w:val="both"/>
        <w:rPr>
          <w:b w:val="0"/>
          <w:sz w:val="24"/>
          <w:szCs w:val="24"/>
        </w:rPr>
      </w:pPr>
    </w:p>
    <w:p w:rsidR="00AC69D8" w:rsidRPr="0032536A" w:rsidRDefault="00AC69D8" w:rsidP="00F962DB">
      <w:pPr>
        <w:pStyle w:val="NoSpacing"/>
        <w:spacing w:before="120"/>
        <w:jc w:val="both"/>
        <w:rPr>
          <w:rFonts w:ascii="Times New Roman" w:hAnsi="Times New Roman" w:cs="Times New Roman"/>
        </w:rPr>
      </w:pPr>
      <w:r w:rsidRPr="007603A3">
        <w:rPr>
          <w:rFonts w:ascii="Times New Roman" w:hAnsi="Times New Roman" w:cs="Times New Roman"/>
          <w:b/>
          <w:bCs/>
        </w:rPr>
        <w:tab/>
        <w:t>1</w:t>
      </w:r>
      <w:r>
        <w:rPr>
          <w:rFonts w:ascii="Times New Roman" w:hAnsi="Times New Roman" w:cs="Times New Roman"/>
          <w:b/>
          <w:bCs/>
        </w:rPr>
        <w:t>.</w:t>
      </w:r>
      <w:r w:rsidRPr="007603A3">
        <w:rPr>
          <w:rFonts w:ascii="Times New Roman" w:hAnsi="Times New Roman" w:cs="Times New Roman"/>
          <w:b/>
          <w:bCs/>
        </w:rPr>
        <w:t xml:space="preserve"> Асоциация по ВиК на обособената територия, обслужван</w:t>
      </w:r>
      <w:r w:rsidRPr="007603A3">
        <w:rPr>
          <w:rFonts w:ascii="Times New Roman" w:hAnsi="Times New Roman" w:cs="Times New Roman"/>
          <w:b/>
          <w:bCs/>
          <w:lang w:val="en-US"/>
        </w:rPr>
        <w:t>a</w:t>
      </w:r>
      <w:r w:rsidRPr="007603A3">
        <w:rPr>
          <w:rFonts w:ascii="Times New Roman" w:hAnsi="Times New Roman" w:cs="Times New Roman"/>
          <w:b/>
          <w:bCs/>
        </w:rPr>
        <w:t xml:space="preserve"> </w:t>
      </w:r>
      <w:r w:rsidRPr="0092755D">
        <w:rPr>
          <w:rFonts w:ascii="Times New Roman" w:hAnsi="Times New Roman" w:cs="Times New Roman"/>
          <w:b/>
          <w:bCs/>
        </w:rPr>
        <w:t>от „</w:t>
      </w:r>
      <w:r>
        <w:rPr>
          <w:rFonts w:ascii="Times New Roman" w:hAnsi="Times New Roman" w:cs="Times New Roman"/>
          <w:b/>
          <w:bCs/>
        </w:rPr>
        <w:t>Водоснабдяване и канализация</w:t>
      </w:r>
      <w:r w:rsidRPr="0092755D">
        <w:rPr>
          <w:rFonts w:ascii="Times New Roman" w:hAnsi="Times New Roman" w:cs="Times New Roman"/>
          <w:b/>
          <w:bCs/>
        </w:rPr>
        <w:t xml:space="preserve">“ </w:t>
      </w:r>
      <w:r>
        <w:rPr>
          <w:rFonts w:ascii="Times New Roman" w:hAnsi="Times New Roman" w:cs="Times New Roman"/>
          <w:b/>
          <w:bCs/>
        </w:rPr>
        <w:t>ОО</w:t>
      </w:r>
      <w:r w:rsidRPr="0092755D">
        <w:rPr>
          <w:rFonts w:ascii="Times New Roman" w:hAnsi="Times New Roman" w:cs="Times New Roman"/>
          <w:b/>
          <w:bCs/>
        </w:rPr>
        <w:t>Д, гр.</w:t>
      </w:r>
      <w:r w:rsidRPr="0092755D">
        <w:rPr>
          <w:rFonts w:ascii="Times New Roman" w:hAnsi="Times New Roman" w:cs="Times New Roman"/>
          <w:b/>
          <w:bCs/>
          <w:lang w:val="ru-RU"/>
        </w:rPr>
        <w:t xml:space="preserve"> </w:t>
      </w:r>
      <w:r>
        <w:rPr>
          <w:rFonts w:ascii="Times New Roman" w:hAnsi="Times New Roman" w:cs="Times New Roman"/>
          <w:b/>
          <w:bCs/>
        </w:rPr>
        <w:t xml:space="preserve">Перник, </w:t>
      </w:r>
      <w:r w:rsidRPr="0092755D">
        <w:rPr>
          <w:rFonts w:ascii="Times New Roman" w:hAnsi="Times New Roman" w:cs="Times New Roman"/>
          <w:b/>
          <w:bCs/>
        </w:rPr>
        <w:t>ЕИК 1</w:t>
      </w:r>
      <w:r>
        <w:rPr>
          <w:rFonts w:ascii="Times New Roman" w:hAnsi="Times New Roman" w:cs="Times New Roman"/>
          <w:b/>
          <w:bCs/>
        </w:rPr>
        <w:t>76268361</w:t>
      </w:r>
      <w:r w:rsidRPr="0092755D">
        <w:rPr>
          <w:rFonts w:ascii="Times New Roman" w:hAnsi="Times New Roman" w:cs="Times New Roman"/>
          <w:b/>
          <w:bCs/>
        </w:rPr>
        <w:t>, представлявана от</w:t>
      </w:r>
      <w:r>
        <w:rPr>
          <w:rFonts w:ascii="Times New Roman" w:hAnsi="Times New Roman" w:cs="Times New Roman"/>
          <w:b/>
          <w:bCs/>
        </w:rPr>
        <w:t xml:space="preserve"> Ирена Соколова</w:t>
      </w:r>
      <w:r w:rsidRPr="0092755D">
        <w:rPr>
          <w:rFonts w:ascii="Times New Roman" w:hAnsi="Times New Roman" w:cs="Times New Roman"/>
          <w:b/>
          <w:bCs/>
          <w:lang w:val="ru-RU"/>
        </w:rPr>
        <w:t>,</w:t>
      </w:r>
      <w:r w:rsidRPr="0092755D">
        <w:rPr>
          <w:rFonts w:ascii="Times New Roman" w:hAnsi="Times New Roman" w:cs="Times New Roman"/>
          <w:b/>
          <w:bCs/>
        </w:rPr>
        <w:t xml:space="preserve"> </w:t>
      </w:r>
      <w:r w:rsidRPr="008117C6">
        <w:rPr>
          <w:rFonts w:ascii="Times New Roman" w:hAnsi="Times New Roman" w:cs="Times New Roman"/>
          <w:bCs/>
        </w:rPr>
        <w:t>наричана по-долу „Асоциация по водоснабдяване и канализация” или „АВиК”</w:t>
      </w:r>
    </w:p>
    <w:p w:rsidR="00AC69D8" w:rsidRPr="0092755D" w:rsidRDefault="00AC69D8" w:rsidP="00F962DB">
      <w:pPr>
        <w:pStyle w:val="NoSpacing"/>
        <w:spacing w:before="120"/>
        <w:ind w:left="720"/>
        <w:jc w:val="both"/>
        <w:rPr>
          <w:rFonts w:ascii="Times New Roman" w:hAnsi="Times New Roman" w:cs="Times New Roman"/>
        </w:rPr>
      </w:pPr>
      <w:r w:rsidRPr="0092755D">
        <w:rPr>
          <w:rFonts w:ascii="Times New Roman" w:hAnsi="Times New Roman" w:cs="Times New Roman"/>
        </w:rPr>
        <w:t>и</w:t>
      </w:r>
    </w:p>
    <w:p w:rsidR="00AC69D8" w:rsidRPr="00573232" w:rsidRDefault="00AC69D8" w:rsidP="00F962DB">
      <w:pPr>
        <w:pStyle w:val="NoSpacing"/>
        <w:spacing w:before="120"/>
        <w:jc w:val="both"/>
        <w:rPr>
          <w:rFonts w:ascii="Times New Roman" w:hAnsi="Times New Roman" w:cs="Times New Roman"/>
          <w:lang w:val="ru-RU"/>
        </w:rPr>
      </w:pPr>
      <w:r w:rsidRPr="0092755D">
        <w:rPr>
          <w:rFonts w:ascii="Times New Roman" w:hAnsi="Times New Roman" w:cs="Times New Roman"/>
          <w:b/>
        </w:rPr>
        <w:tab/>
        <w:t xml:space="preserve">2. </w:t>
      </w:r>
      <w:r w:rsidRPr="00AB22E0">
        <w:rPr>
          <w:rFonts w:ascii="Times New Roman" w:hAnsi="Times New Roman" w:cs="Times New Roman"/>
          <w:b/>
        </w:rPr>
        <w:t>„</w:t>
      </w:r>
      <w:r>
        <w:rPr>
          <w:rFonts w:ascii="Times New Roman" w:hAnsi="Times New Roman" w:cs="Times New Roman"/>
          <w:b/>
        </w:rPr>
        <w:t>Водоснабдяване и канализация</w:t>
      </w:r>
      <w:r w:rsidRPr="00AB22E0">
        <w:rPr>
          <w:rFonts w:ascii="Times New Roman" w:hAnsi="Times New Roman" w:cs="Times New Roman"/>
          <w:b/>
        </w:rPr>
        <w:t>“ ООД, гр.</w:t>
      </w:r>
      <w:r w:rsidRPr="00AB22E0">
        <w:rPr>
          <w:rFonts w:ascii="Times New Roman" w:hAnsi="Times New Roman" w:cs="Times New Roman"/>
          <w:b/>
          <w:lang w:val="ru-RU"/>
        </w:rPr>
        <w:t xml:space="preserve"> </w:t>
      </w:r>
      <w:r>
        <w:rPr>
          <w:rFonts w:ascii="Times New Roman" w:hAnsi="Times New Roman" w:cs="Times New Roman"/>
          <w:b/>
          <w:lang w:val="ru-RU"/>
        </w:rPr>
        <w:t>Перник</w:t>
      </w:r>
      <w:r w:rsidRPr="00AB22E0">
        <w:rPr>
          <w:rFonts w:ascii="Times New Roman" w:hAnsi="Times New Roman" w:cs="Times New Roman"/>
          <w:b/>
        </w:rPr>
        <w:t>,</w:t>
      </w:r>
      <w:r w:rsidRPr="00AB22E0">
        <w:rPr>
          <w:rFonts w:ascii="Times New Roman" w:hAnsi="Times New Roman" w:cs="Times New Roman"/>
          <w:b/>
          <w:lang w:val="ru-RU"/>
        </w:rPr>
        <w:t xml:space="preserve"> </w:t>
      </w:r>
      <w:r w:rsidRPr="00AB22E0">
        <w:rPr>
          <w:rFonts w:ascii="Times New Roman" w:hAnsi="Times New Roman" w:cs="Times New Roman"/>
          <w:b/>
        </w:rPr>
        <w:t xml:space="preserve">ЕИК </w:t>
      </w:r>
      <w:r>
        <w:rPr>
          <w:rFonts w:ascii="Times New Roman" w:hAnsi="Times New Roman" w:cs="Times New Roman"/>
          <w:b/>
        </w:rPr>
        <w:t>823073638</w:t>
      </w:r>
      <w:r w:rsidRPr="00AB22E0">
        <w:rPr>
          <w:rFonts w:ascii="Times New Roman" w:hAnsi="Times New Roman" w:cs="Times New Roman"/>
          <w:b/>
        </w:rPr>
        <w:t>, представлявано от</w:t>
      </w:r>
      <w:r w:rsidRPr="00AB22E0">
        <w:rPr>
          <w:rFonts w:ascii="Times New Roman" w:hAnsi="Times New Roman" w:cs="Times New Roman"/>
          <w:b/>
          <w:lang w:val="ru-RU"/>
        </w:rPr>
        <w:t xml:space="preserve"> </w:t>
      </w:r>
      <w:r>
        <w:rPr>
          <w:rFonts w:ascii="Times New Roman" w:hAnsi="Times New Roman" w:cs="Times New Roman"/>
          <w:b/>
          <w:lang w:val="ru-RU"/>
        </w:rPr>
        <w:t>Иван Витанов -</w:t>
      </w:r>
      <w:r w:rsidRPr="00AB22E0">
        <w:rPr>
          <w:rFonts w:ascii="Times New Roman" w:hAnsi="Times New Roman" w:cs="Times New Roman"/>
          <w:b/>
          <w:lang w:val="ru-RU"/>
        </w:rPr>
        <w:t xml:space="preserve"> управител</w:t>
      </w:r>
      <w:r w:rsidRPr="00AB22E0">
        <w:rPr>
          <w:rFonts w:ascii="Times New Roman" w:hAnsi="Times New Roman" w:cs="Times New Roman"/>
        </w:rPr>
        <w:t>, наричано по-долу „Оператор” или „ВиКО”,</w:t>
      </w:r>
    </w:p>
    <w:p w:rsidR="00AC69D8" w:rsidRPr="00573232" w:rsidRDefault="00AC69D8" w:rsidP="00BE1D0E">
      <w:pPr>
        <w:pStyle w:val="NoSpacing"/>
        <w:tabs>
          <w:tab w:val="left" w:pos="284"/>
        </w:tabs>
        <w:ind w:left="1080"/>
        <w:jc w:val="both"/>
        <w:rPr>
          <w:rFonts w:ascii="Times New Roman" w:hAnsi="Times New Roman" w:cs="Times New Roman"/>
          <w:lang w:val="ru-RU"/>
        </w:rPr>
      </w:pPr>
    </w:p>
    <w:p w:rsidR="00AC69D8" w:rsidRPr="00430055" w:rsidRDefault="00AC69D8" w:rsidP="00F962DB">
      <w:pPr>
        <w:pStyle w:val="Title"/>
        <w:widowControl w:val="0"/>
        <w:spacing w:before="120" w:after="0"/>
        <w:ind w:firstLine="709"/>
        <w:jc w:val="both"/>
        <w:rPr>
          <w:rFonts w:ascii="Times New Roman" w:hAnsi="Times New Roman"/>
          <w:b w:val="0"/>
          <w:kern w:val="0"/>
          <w:sz w:val="24"/>
          <w:szCs w:val="24"/>
          <w:lang w:val="bg-BG"/>
        </w:rPr>
      </w:pPr>
      <w:r w:rsidRPr="00430055">
        <w:rPr>
          <w:rFonts w:ascii="Times New Roman" w:hAnsi="Times New Roman"/>
          <w:b w:val="0"/>
          <w:sz w:val="24"/>
          <w:szCs w:val="24"/>
          <w:lang w:val="ru-RU"/>
        </w:rPr>
        <w:t xml:space="preserve">На основание </w:t>
      </w:r>
      <w:r w:rsidRPr="00430055">
        <w:rPr>
          <w:rFonts w:ascii="Times New Roman" w:hAnsi="Times New Roman"/>
          <w:b w:val="0"/>
          <w:kern w:val="0"/>
          <w:sz w:val="24"/>
          <w:szCs w:val="24"/>
          <w:lang w:val="bg-BG"/>
        </w:rPr>
        <w:t xml:space="preserve">чл. 198п, ал. 5, т. 2 и 3 от Закона за водите и </w:t>
      </w:r>
      <w:r>
        <w:rPr>
          <w:rFonts w:ascii="Times New Roman" w:hAnsi="Times New Roman"/>
          <w:b w:val="0"/>
          <w:kern w:val="0"/>
          <w:sz w:val="24"/>
          <w:szCs w:val="24"/>
          <w:lang w:val="bg-BG"/>
        </w:rPr>
        <w:t>чл. 18.</w:t>
      </w:r>
      <w:r w:rsidRPr="0092755D">
        <w:rPr>
          <w:rFonts w:ascii="Times New Roman" w:hAnsi="Times New Roman"/>
          <w:b w:val="0"/>
          <w:kern w:val="0"/>
          <w:sz w:val="24"/>
          <w:szCs w:val="24"/>
          <w:lang w:val="bg-BG"/>
        </w:rPr>
        <w:t>7 от Договора</w:t>
      </w:r>
      <w:r w:rsidRPr="00B56277">
        <w:rPr>
          <w:rFonts w:ascii="Times New Roman" w:hAnsi="Times New Roman"/>
          <w:b w:val="0"/>
          <w:sz w:val="24"/>
          <w:szCs w:val="24"/>
          <w:lang w:val="bg-BG"/>
        </w:rPr>
        <w:t xml:space="preserve"> за стопанисване, поддържане и експлоатация на ВиК системите</w:t>
      </w:r>
      <w:r w:rsidRPr="00430055">
        <w:rPr>
          <w:rFonts w:ascii="Times New Roman" w:hAnsi="Times New Roman"/>
          <w:b w:val="0"/>
          <w:sz w:val="24"/>
          <w:szCs w:val="24"/>
          <w:lang w:val="bg-BG"/>
        </w:rPr>
        <w:t xml:space="preserve"> и съоръженията и предоставяне на водоснабдителни и канализационни услуги, сключен на </w:t>
      </w:r>
      <w:r>
        <w:rPr>
          <w:rFonts w:ascii="Times New Roman" w:hAnsi="Times New Roman"/>
          <w:b w:val="0"/>
          <w:sz w:val="24"/>
          <w:szCs w:val="24"/>
          <w:lang w:val="bg-BG"/>
        </w:rPr>
        <w:t>11.03.2016</w:t>
      </w:r>
      <w:r w:rsidRPr="001A3F35">
        <w:rPr>
          <w:rFonts w:ascii="Times New Roman" w:hAnsi="Times New Roman"/>
          <w:b w:val="0"/>
          <w:sz w:val="24"/>
          <w:szCs w:val="24"/>
          <w:lang w:val="ru-RU"/>
        </w:rPr>
        <w:t xml:space="preserve"> </w:t>
      </w:r>
      <w:r w:rsidRPr="00430055">
        <w:rPr>
          <w:rFonts w:ascii="Times New Roman" w:hAnsi="Times New Roman"/>
          <w:b w:val="0"/>
          <w:sz w:val="24"/>
          <w:szCs w:val="24"/>
          <w:lang w:val="bg-BG"/>
        </w:rPr>
        <w:t xml:space="preserve">г. по реда на чл. 198о, ал. 1, пр. първо от Закона за водите </w:t>
      </w:r>
      <w:r w:rsidRPr="00430055">
        <w:rPr>
          <w:rFonts w:ascii="Times New Roman" w:hAnsi="Times New Roman"/>
          <w:b w:val="0"/>
          <w:sz w:val="24"/>
          <w:szCs w:val="24"/>
          <w:lang w:val="ru-RU"/>
        </w:rPr>
        <w:t>(</w:t>
      </w:r>
      <w:r w:rsidRPr="00F962DB">
        <w:rPr>
          <w:rFonts w:ascii="Times New Roman" w:hAnsi="Times New Roman"/>
          <w:b w:val="0"/>
          <w:kern w:val="0"/>
          <w:sz w:val="24"/>
          <w:szCs w:val="24"/>
          <w:lang w:val="bg-BG"/>
        </w:rPr>
        <w:t>„</w:t>
      </w:r>
      <w:r w:rsidRPr="00430055">
        <w:rPr>
          <w:rFonts w:ascii="Times New Roman" w:hAnsi="Times New Roman"/>
          <w:b w:val="0"/>
          <w:sz w:val="24"/>
          <w:szCs w:val="24"/>
          <w:lang w:val="bg-BG"/>
        </w:rPr>
        <w:t>Договора</w:t>
      </w:r>
      <w:r w:rsidRPr="00430055">
        <w:rPr>
          <w:rFonts w:ascii="Times New Roman" w:hAnsi="Times New Roman"/>
          <w:b w:val="0"/>
          <w:sz w:val="24"/>
          <w:szCs w:val="24"/>
          <w:lang w:val="ru-RU"/>
        </w:rPr>
        <w:t>”</w:t>
      </w:r>
      <w:r w:rsidRPr="002B6CAC">
        <w:rPr>
          <w:rFonts w:ascii="Times New Roman" w:hAnsi="Times New Roman"/>
          <w:b w:val="0"/>
          <w:sz w:val="24"/>
          <w:szCs w:val="24"/>
          <w:lang w:val="ru-RU"/>
        </w:rPr>
        <w:t>)</w:t>
      </w:r>
    </w:p>
    <w:p w:rsidR="00AC69D8" w:rsidRPr="008230B7" w:rsidRDefault="00AC69D8" w:rsidP="00F962DB">
      <w:pPr>
        <w:pStyle w:val="NoSpacing"/>
        <w:spacing w:before="120"/>
        <w:ind w:firstLine="720"/>
        <w:jc w:val="both"/>
        <w:rPr>
          <w:rFonts w:ascii="Times New Roman" w:hAnsi="Times New Roman" w:cs="Times New Roman"/>
        </w:rPr>
      </w:pPr>
      <w:r w:rsidRPr="007603A3">
        <w:rPr>
          <w:rFonts w:ascii="Times New Roman" w:hAnsi="Times New Roman" w:cs="Times New Roman"/>
        </w:rPr>
        <w:t xml:space="preserve">се сключи </w:t>
      </w:r>
      <w:r>
        <w:rPr>
          <w:rFonts w:ascii="Times New Roman" w:hAnsi="Times New Roman" w:cs="Times New Roman"/>
        </w:rPr>
        <w:t>настоящото</w:t>
      </w:r>
      <w:r w:rsidRPr="007603A3">
        <w:rPr>
          <w:rFonts w:ascii="Times New Roman" w:hAnsi="Times New Roman" w:cs="Times New Roman"/>
        </w:rPr>
        <w:t xml:space="preserve"> </w:t>
      </w:r>
      <w:r>
        <w:rPr>
          <w:rFonts w:ascii="Times New Roman" w:hAnsi="Times New Roman" w:cs="Times New Roman"/>
        </w:rPr>
        <w:t>Допълнително споразумение № 1</w:t>
      </w:r>
      <w:r w:rsidRPr="007603A3">
        <w:rPr>
          <w:rFonts w:ascii="Times New Roman" w:hAnsi="Times New Roman" w:cs="Times New Roman"/>
        </w:rPr>
        <w:t xml:space="preserve"> към Договор</w:t>
      </w:r>
      <w:r>
        <w:rPr>
          <w:rFonts w:ascii="Times New Roman" w:hAnsi="Times New Roman" w:cs="Times New Roman"/>
        </w:rPr>
        <w:t>а</w:t>
      </w:r>
      <w:r w:rsidRPr="008230B7">
        <w:rPr>
          <w:rFonts w:ascii="Times New Roman" w:hAnsi="Times New Roman" w:cs="Times New Roman"/>
        </w:rPr>
        <w:t>, с което Страните</w:t>
      </w:r>
    </w:p>
    <w:p w:rsidR="00AC69D8" w:rsidRPr="008230B7" w:rsidRDefault="00AC69D8" w:rsidP="00BE1D0E">
      <w:pPr>
        <w:pStyle w:val="NoSpacing"/>
        <w:ind w:firstLine="720"/>
        <w:jc w:val="both"/>
        <w:rPr>
          <w:rFonts w:ascii="Times New Roman" w:hAnsi="Times New Roman" w:cs="Times New Roman"/>
        </w:rPr>
      </w:pPr>
    </w:p>
    <w:p w:rsidR="00AC69D8" w:rsidRPr="008230B7" w:rsidRDefault="00AC69D8" w:rsidP="00BE1D0E">
      <w:pPr>
        <w:spacing w:after="0" w:line="240" w:lineRule="auto"/>
        <w:rPr>
          <w:i/>
          <w:szCs w:val="24"/>
          <w:lang w:eastAsia="bg-BG"/>
        </w:rPr>
      </w:pPr>
      <w:r w:rsidRPr="008230B7">
        <w:rPr>
          <w:i/>
          <w:szCs w:val="24"/>
          <w:lang w:eastAsia="bg-BG"/>
        </w:rPr>
        <w:t>КАТО ВЗЕХА ПРЕДВИД, ЧЕ:</w:t>
      </w:r>
    </w:p>
    <w:p w:rsidR="00AC69D8" w:rsidRPr="008230B7" w:rsidRDefault="00AC69D8" w:rsidP="00BE1D0E">
      <w:pPr>
        <w:spacing w:after="0" w:line="240" w:lineRule="auto"/>
        <w:rPr>
          <w:b/>
          <w:szCs w:val="24"/>
          <w:lang w:eastAsia="bg-BG"/>
        </w:rPr>
      </w:pPr>
    </w:p>
    <w:p w:rsidR="00AC69D8" w:rsidRPr="00251117" w:rsidRDefault="00AC69D8" w:rsidP="0032536A">
      <w:pPr>
        <w:spacing w:after="120" w:line="240" w:lineRule="auto"/>
        <w:ind w:firstLine="709"/>
        <w:rPr>
          <w:szCs w:val="24"/>
        </w:rPr>
      </w:pPr>
      <w:r w:rsidRPr="00251117">
        <w:rPr>
          <w:szCs w:val="24"/>
          <w:lang w:eastAsia="bg-BG"/>
        </w:rPr>
        <w:t>(</w:t>
      </w:r>
      <w:r w:rsidRPr="00251117">
        <w:rPr>
          <w:szCs w:val="24"/>
          <w:lang w:val="en-US" w:eastAsia="bg-BG"/>
        </w:rPr>
        <w:t>A</w:t>
      </w:r>
      <w:r w:rsidRPr="00251117">
        <w:rPr>
          <w:szCs w:val="24"/>
          <w:lang w:eastAsia="bg-BG"/>
        </w:rPr>
        <w:t xml:space="preserve">) </w:t>
      </w:r>
      <w:r w:rsidRPr="00251117">
        <w:rPr>
          <w:szCs w:val="24"/>
          <w:lang w:val="ru-RU"/>
        </w:rPr>
        <w:t xml:space="preserve">Въз основа на покана от </w:t>
      </w:r>
      <w:r w:rsidRPr="00251117">
        <w:rPr>
          <w:szCs w:val="24"/>
        </w:rPr>
        <w:t xml:space="preserve">Главна дирекция „Оперативна програма Околна среда“ - Управляващ орган на Оперативна програма „Околна среда 2014-2020 г.“ </w:t>
      </w:r>
      <w:r w:rsidRPr="00251117">
        <w:rPr>
          <w:szCs w:val="24"/>
          <w:lang w:eastAsia="bg-BG"/>
        </w:rPr>
        <w:t xml:space="preserve">операторът се подготвя да кандидатства </w:t>
      </w:r>
      <w:r w:rsidRPr="00251117">
        <w:rPr>
          <w:szCs w:val="24"/>
        </w:rPr>
        <w:t>в процедура чрез директно предоставяне на безвъзмездна финансова помощ № BG161M1OP002-I.016 „Изграждане на ВиК инфраструктура“ по Оперативна програма „Околна среда 2014-2020 г.“ за получаване на безвъзмездна финансова помощ („БФП”)</w:t>
      </w:r>
      <w:r w:rsidRPr="00251117">
        <w:rPr>
          <w:szCs w:val="24"/>
          <w:lang w:val="ru-RU"/>
        </w:rPr>
        <w:t xml:space="preserve"> и</w:t>
      </w:r>
    </w:p>
    <w:p w:rsidR="00AC69D8" w:rsidRPr="00251117" w:rsidRDefault="00AC69D8" w:rsidP="0032536A">
      <w:pPr>
        <w:spacing w:after="120" w:line="240" w:lineRule="auto"/>
        <w:ind w:firstLine="709"/>
        <w:rPr>
          <w:szCs w:val="24"/>
        </w:rPr>
      </w:pPr>
      <w:r w:rsidRPr="00251117">
        <w:rPr>
          <w:szCs w:val="24"/>
          <w:lang w:eastAsia="bg-BG"/>
        </w:rPr>
        <w:t>(Б)</w:t>
      </w:r>
      <w:r w:rsidR="00E22689" w:rsidRPr="00E22689">
        <w:rPr>
          <w:lang w:eastAsia="bg-BG"/>
        </w:rPr>
        <w:t xml:space="preserve"> </w:t>
      </w:r>
      <w:r w:rsidR="00E22689">
        <w:rPr>
          <w:lang w:eastAsia="bg-BG"/>
        </w:rPr>
        <w:t xml:space="preserve">На ………..2019 г. </w:t>
      </w:r>
      <w:r w:rsidR="00E22689">
        <w:t>Общото събрание на АВиК прие решение за сключване на настоящото Допълнително споразумение № 1</w:t>
      </w:r>
      <w:r w:rsidRPr="00251117">
        <w:rPr>
          <w:szCs w:val="24"/>
        </w:rPr>
        <w:t xml:space="preserve">, </w:t>
      </w:r>
    </w:p>
    <w:p w:rsidR="00AC69D8" w:rsidRPr="00251117" w:rsidRDefault="00AC69D8" w:rsidP="0032536A">
      <w:pPr>
        <w:spacing w:after="120" w:line="240" w:lineRule="auto"/>
        <w:ind w:firstLine="709"/>
        <w:rPr>
          <w:szCs w:val="24"/>
        </w:rPr>
      </w:pPr>
    </w:p>
    <w:p w:rsidR="00AC69D8" w:rsidRPr="00251117" w:rsidRDefault="00AC69D8" w:rsidP="0032536A">
      <w:pPr>
        <w:spacing w:after="0" w:line="240" w:lineRule="auto"/>
        <w:rPr>
          <w:b/>
          <w:i/>
          <w:szCs w:val="24"/>
        </w:rPr>
      </w:pPr>
      <w:r w:rsidRPr="00251117">
        <w:rPr>
          <w:b/>
          <w:i/>
          <w:szCs w:val="24"/>
        </w:rPr>
        <w:t xml:space="preserve">СЕ СПОРАЗУМЯХА ЗА СЛЕДНИТЕ ИЗМЕНЕНИЯ И ДОПЪЛНЕНИЯ В ДОГОВОРА: </w:t>
      </w:r>
    </w:p>
    <w:p w:rsidR="00AC69D8" w:rsidRPr="00251117" w:rsidRDefault="00AC69D8" w:rsidP="0032536A">
      <w:pPr>
        <w:spacing w:after="0" w:line="240" w:lineRule="auto"/>
        <w:rPr>
          <w:i/>
          <w:szCs w:val="24"/>
        </w:rPr>
      </w:pPr>
    </w:p>
    <w:p w:rsidR="00AC69D8" w:rsidRPr="00251117" w:rsidRDefault="00943005" w:rsidP="0032536A">
      <w:pPr>
        <w:spacing w:after="120" w:line="240" w:lineRule="auto"/>
        <w:rPr>
          <w:b/>
          <w:bCs/>
          <w:szCs w:val="24"/>
        </w:rPr>
      </w:pPr>
      <w:r>
        <w:rPr>
          <w:b/>
          <w:bCs/>
          <w:szCs w:val="24"/>
        </w:rPr>
        <w:t xml:space="preserve">§ </w:t>
      </w:r>
      <w:r w:rsidR="00AC69D8" w:rsidRPr="00251117">
        <w:rPr>
          <w:b/>
          <w:bCs/>
          <w:szCs w:val="24"/>
        </w:rPr>
        <w:t>1</w:t>
      </w:r>
      <w:r w:rsidR="00AC69D8" w:rsidRPr="00251117">
        <w:rPr>
          <w:b/>
          <w:szCs w:val="24"/>
        </w:rPr>
        <w:t xml:space="preserve">. </w:t>
      </w:r>
      <w:r w:rsidR="00AC69D8" w:rsidRPr="00251117">
        <w:rPr>
          <w:b/>
          <w:bCs/>
          <w:szCs w:val="24"/>
        </w:rPr>
        <w:t>В чл. 1.1 „Дефиниции“ се правят следните изменения:</w:t>
      </w:r>
    </w:p>
    <w:p w:rsidR="00AC69D8" w:rsidRPr="00251117" w:rsidRDefault="00AC69D8" w:rsidP="0032536A">
      <w:pPr>
        <w:spacing w:after="120" w:line="240" w:lineRule="auto"/>
        <w:ind w:left="720" w:firstLine="0"/>
        <w:contextualSpacing/>
        <w:rPr>
          <w:bCs/>
          <w:szCs w:val="24"/>
        </w:rPr>
      </w:pPr>
      <w:r w:rsidRPr="00251117">
        <w:rPr>
          <w:b/>
          <w:bCs/>
          <w:szCs w:val="24"/>
        </w:rPr>
        <w:t>1.1.</w:t>
      </w:r>
      <w:r w:rsidRPr="00251117">
        <w:rPr>
          <w:bCs/>
          <w:szCs w:val="24"/>
        </w:rPr>
        <w:t xml:space="preserve"> Приема се ново определение на „</w:t>
      </w:r>
      <w:r w:rsidRPr="00251117">
        <w:rPr>
          <w:b/>
          <w:bCs/>
          <w:szCs w:val="24"/>
        </w:rPr>
        <w:t>ЗОП</w:t>
      </w:r>
      <w:r w:rsidRPr="00251117">
        <w:rPr>
          <w:bCs/>
          <w:szCs w:val="24"/>
        </w:rPr>
        <w:t>“, както следва:</w:t>
      </w:r>
    </w:p>
    <w:p w:rsidR="00AC69D8" w:rsidRPr="00251117" w:rsidRDefault="00AC69D8" w:rsidP="0032536A">
      <w:pPr>
        <w:spacing w:after="120" w:line="240" w:lineRule="auto"/>
        <w:rPr>
          <w:i/>
          <w:szCs w:val="24"/>
        </w:rPr>
      </w:pPr>
      <w:r w:rsidRPr="00251117">
        <w:rPr>
          <w:b/>
          <w:bCs/>
          <w:i/>
          <w:szCs w:val="24"/>
        </w:rPr>
        <w:t>„ЗОП“</w:t>
      </w:r>
      <w:r w:rsidRPr="00251117">
        <w:rPr>
          <w:i/>
          <w:szCs w:val="24"/>
        </w:rPr>
        <w:t xml:space="preserve"> означава действащия Закон за обществените поръчки със съответните изменения и допълнения.</w:t>
      </w:r>
    </w:p>
    <w:p w:rsidR="00AC69D8" w:rsidRPr="00251117" w:rsidRDefault="00AC69D8" w:rsidP="0032536A">
      <w:pPr>
        <w:spacing w:after="120" w:line="240" w:lineRule="auto"/>
        <w:rPr>
          <w:szCs w:val="24"/>
        </w:rPr>
      </w:pPr>
      <w:r w:rsidRPr="00251117">
        <w:rPr>
          <w:b/>
          <w:szCs w:val="24"/>
        </w:rPr>
        <w:t>1.2.</w:t>
      </w:r>
      <w:r w:rsidRPr="00251117">
        <w:rPr>
          <w:szCs w:val="24"/>
        </w:rPr>
        <w:t xml:space="preserve"> Приема се ново определение на „</w:t>
      </w:r>
      <w:r w:rsidRPr="00251117">
        <w:rPr>
          <w:b/>
          <w:szCs w:val="24"/>
        </w:rPr>
        <w:t>Наредба за регулиране на качеството на ВиК услугите</w:t>
      </w:r>
      <w:r w:rsidRPr="00251117">
        <w:rPr>
          <w:szCs w:val="24"/>
        </w:rPr>
        <w:t>“, както следва:</w:t>
      </w:r>
    </w:p>
    <w:p w:rsidR="00AC69D8" w:rsidRPr="007168FA" w:rsidRDefault="00AC69D8" w:rsidP="0032536A">
      <w:pPr>
        <w:spacing w:after="120" w:line="240" w:lineRule="auto"/>
        <w:rPr>
          <w:szCs w:val="24"/>
          <w:lang w:val="ru-RU"/>
        </w:rPr>
      </w:pPr>
      <w:r w:rsidRPr="00251117">
        <w:rPr>
          <w:bCs/>
          <w:i/>
          <w:szCs w:val="24"/>
        </w:rPr>
        <w:lastRenderedPageBreak/>
        <w:t>„</w:t>
      </w:r>
      <w:r w:rsidRPr="00251117">
        <w:rPr>
          <w:b/>
          <w:i/>
          <w:szCs w:val="24"/>
        </w:rPr>
        <w:t xml:space="preserve">Наредба за регулиране на качеството на ВиК услугите </w:t>
      </w:r>
      <w:r w:rsidRPr="00251117">
        <w:rPr>
          <w:i/>
          <w:szCs w:val="24"/>
        </w:rPr>
        <w:t>означава Наредба за регулиране на качеството на водоснабдителните и канализационните услуги, приета с Постановление на Министерския съвет № 8 от 18.01.2016 г., обн., ДВ, бр. 6 от 22.01.2016 г., със съответните изменения и допълнения</w:t>
      </w:r>
      <w:r w:rsidRPr="007168FA">
        <w:rPr>
          <w:i/>
          <w:szCs w:val="24"/>
          <w:lang w:val="ru-RU"/>
        </w:rPr>
        <w:t>.</w:t>
      </w:r>
      <w:r w:rsidRPr="00251117">
        <w:rPr>
          <w:i/>
          <w:szCs w:val="24"/>
        </w:rPr>
        <w:t>“</w:t>
      </w:r>
    </w:p>
    <w:p w:rsidR="00AC69D8" w:rsidRPr="00251117" w:rsidRDefault="00AC69D8" w:rsidP="0032536A">
      <w:pPr>
        <w:spacing w:after="120" w:line="240" w:lineRule="auto"/>
        <w:rPr>
          <w:szCs w:val="24"/>
        </w:rPr>
      </w:pPr>
      <w:r w:rsidRPr="00251117">
        <w:rPr>
          <w:b/>
          <w:szCs w:val="24"/>
        </w:rPr>
        <w:t>1.3.</w:t>
      </w:r>
      <w:r w:rsidRPr="00251117">
        <w:rPr>
          <w:szCs w:val="24"/>
        </w:rPr>
        <w:t xml:space="preserve"> Приема се ново определение на </w:t>
      </w:r>
      <w:r w:rsidRPr="00251117">
        <w:rPr>
          <w:b/>
          <w:szCs w:val="24"/>
        </w:rPr>
        <w:t>„Нормативни показатели за качество“</w:t>
      </w:r>
      <w:r w:rsidRPr="00251117">
        <w:rPr>
          <w:szCs w:val="24"/>
        </w:rPr>
        <w:t>, както следва:</w:t>
      </w:r>
    </w:p>
    <w:p w:rsidR="00AC69D8" w:rsidRPr="007168FA" w:rsidRDefault="00AC69D8" w:rsidP="0032536A">
      <w:pPr>
        <w:spacing w:before="120" w:after="0" w:line="240" w:lineRule="auto"/>
        <w:rPr>
          <w:bCs/>
          <w:i/>
          <w:szCs w:val="24"/>
          <w:lang w:val="ru-RU"/>
        </w:rPr>
      </w:pPr>
      <w:r w:rsidRPr="00251117">
        <w:rPr>
          <w:b/>
          <w:bCs/>
          <w:i/>
          <w:szCs w:val="24"/>
        </w:rPr>
        <w:t xml:space="preserve">„Нормативни показатели за качество </w:t>
      </w:r>
      <w:r w:rsidRPr="00251117">
        <w:rPr>
          <w:bCs/>
          <w:i/>
          <w:szCs w:val="24"/>
        </w:rPr>
        <w:t>означава показателите за качество на водоснабдителните и канализационни услуги, предоставяни от ВиК операторите, посочени в ЗРВКУ и актовете по неговото прилагане</w:t>
      </w:r>
      <w:r w:rsidRPr="007168FA">
        <w:rPr>
          <w:bCs/>
          <w:i/>
          <w:szCs w:val="24"/>
          <w:lang w:val="ru-RU"/>
        </w:rPr>
        <w:t>.</w:t>
      </w:r>
      <w:r>
        <w:rPr>
          <w:bCs/>
          <w:i/>
          <w:szCs w:val="24"/>
        </w:rPr>
        <w:t>“</w:t>
      </w:r>
    </w:p>
    <w:p w:rsidR="00AC69D8" w:rsidRPr="00251117" w:rsidRDefault="00AC69D8" w:rsidP="0032536A">
      <w:pPr>
        <w:spacing w:before="120" w:after="0" w:line="240" w:lineRule="auto"/>
        <w:rPr>
          <w:bCs/>
          <w:szCs w:val="24"/>
        </w:rPr>
      </w:pPr>
      <w:r w:rsidRPr="00251117">
        <w:rPr>
          <w:b/>
          <w:bCs/>
          <w:szCs w:val="24"/>
        </w:rPr>
        <w:t xml:space="preserve">1.4. </w:t>
      </w:r>
      <w:r w:rsidRPr="00251117">
        <w:rPr>
          <w:bCs/>
          <w:szCs w:val="24"/>
        </w:rPr>
        <w:t>В чл. 1 се създава чл. 1.5.:</w:t>
      </w:r>
    </w:p>
    <w:p w:rsidR="00AC69D8" w:rsidRPr="00251117" w:rsidRDefault="00AC69D8" w:rsidP="0032536A">
      <w:pPr>
        <w:spacing w:before="120" w:after="0" w:line="240" w:lineRule="auto"/>
        <w:rPr>
          <w:b/>
          <w:szCs w:val="24"/>
        </w:rPr>
      </w:pPr>
      <w:r w:rsidRPr="00251117">
        <w:rPr>
          <w:bCs/>
          <w:szCs w:val="24"/>
        </w:rPr>
        <w:t>„</w:t>
      </w:r>
      <w:r w:rsidRPr="00251117">
        <w:rPr>
          <w:b/>
          <w:bCs/>
          <w:szCs w:val="24"/>
        </w:rPr>
        <w:t>1.5</w:t>
      </w:r>
      <w:r w:rsidRPr="00251117">
        <w:rPr>
          <w:bCs/>
          <w:szCs w:val="24"/>
        </w:rPr>
        <w:t xml:space="preserve">. </w:t>
      </w:r>
      <w:r w:rsidRPr="00251117">
        <w:rPr>
          <w:b/>
          <w:szCs w:val="24"/>
        </w:rPr>
        <w:t xml:space="preserve">Промяна на нормативни актове  </w:t>
      </w:r>
    </w:p>
    <w:p w:rsidR="00AC69D8" w:rsidRPr="00251117" w:rsidRDefault="00AC69D8" w:rsidP="0032536A">
      <w:pPr>
        <w:spacing w:before="120" w:after="0" w:line="240" w:lineRule="auto"/>
        <w:rPr>
          <w:bCs/>
          <w:szCs w:val="24"/>
        </w:rPr>
      </w:pPr>
      <w:r w:rsidRPr="00251117">
        <w:rPr>
          <w:bCs/>
          <w:i/>
          <w:szCs w:val="24"/>
        </w:rPr>
        <w:t>При изменение и допълнение, включително изменение на наименование на нормативен акт, цитиран в този Договор, както и при отмяната на нормативен акт и замяната му с нов такъв се прилага съответно измененият или новият нормативен акт, без за това да е необходимо изрично изменение на Договора, освен когато такова изменение на Договора е необходимо за съобразяването му с новия или изменен нормативен акт</w:t>
      </w:r>
      <w:r w:rsidRPr="00251117">
        <w:rPr>
          <w:bCs/>
          <w:szCs w:val="24"/>
        </w:rPr>
        <w:t>.“</w:t>
      </w:r>
    </w:p>
    <w:p w:rsidR="00AC69D8" w:rsidRDefault="00AC69D8" w:rsidP="0032536A">
      <w:pPr>
        <w:spacing w:before="240" w:after="0" w:line="240" w:lineRule="auto"/>
        <w:rPr>
          <w:b/>
          <w:bCs/>
          <w:szCs w:val="24"/>
        </w:rPr>
      </w:pPr>
    </w:p>
    <w:p w:rsidR="00AC69D8" w:rsidRPr="00251117" w:rsidRDefault="006A1F8B" w:rsidP="0032536A">
      <w:pPr>
        <w:spacing w:before="240" w:after="0" w:line="240" w:lineRule="auto"/>
        <w:rPr>
          <w:b/>
          <w:bCs/>
          <w:szCs w:val="24"/>
        </w:rPr>
      </w:pPr>
      <w:r>
        <w:rPr>
          <w:b/>
          <w:bCs/>
          <w:szCs w:val="24"/>
        </w:rPr>
        <w:t xml:space="preserve">§ </w:t>
      </w:r>
      <w:r w:rsidR="00AC69D8" w:rsidRPr="00251117">
        <w:rPr>
          <w:b/>
          <w:bCs/>
          <w:szCs w:val="24"/>
        </w:rPr>
        <w:t>2. В чл. 3 „Общи права и задължения“ се прав</w:t>
      </w:r>
      <w:r w:rsidR="00AC69D8">
        <w:rPr>
          <w:b/>
          <w:bCs/>
          <w:szCs w:val="24"/>
        </w:rPr>
        <w:t>ят</w:t>
      </w:r>
      <w:r w:rsidR="00AC69D8" w:rsidRPr="00251117">
        <w:rPr>
          <w:b/>
          <w:bCs/>
          <w:szCs w:val="24"/>
        </w:rPr>
        <w:t xml:space="preserve"> следн</w:t>
      </w:r>
      <w:r w:rsidR="00AC69D8">
        <w:rPr>
          <w:b/>
          <w:bCs/>
          <w:szCs w:val="24"/>
        </w:rPr>
        <w:t>ите</w:t>
      </w:r>
      <w:r w:rsidR="00AC69D8" w:rsidRPr="00251117">
        <w:rPr>
          <w:b/>
          <w:bCs/>
          <w:szCs w:val="24"/>
        </w:rPr>
        <w:t xml:space="preserve"> допълнени</w:t>
      </w:r>
      <w:r w:rsidR="00AC69D8">
        <w:rPr>
          <w:b/>
          <w:bCs/>
          <w:szCs w:val="24"/>
        </w:rPr>
        <w:t>я</w:t>
      </w:r>
      <w:r w:rsidR="00AC69D8" w:rsidRPr="00251117">
        <w:rPr>
          <w:b/>
          <w:bCs/>
          <w:szCs w:val="24"/>
        </w:rPr>
        <w:t>:</w:t>
      </w:r>
    </w:p>
    <w:p w:rsidR="00AC69D8" w:rsidRPr="007168FA" w:rsidRDefault="00AC69D8" w:rsidP="0032536A">
      <w:pPr>
        <w:spacing w:before="240" w:after="0" w:line="240" w:lineRule="auto"/>
        <w:rPr>
          <w:b/>
          <w:bCs/>
          <w:szCs w:val="24"/>
          <w:lang w:val="ru-RU"/>
        </w:rPr>
      </w:pPr>
      <w:r w:rsidRPr="00251117">
        <w:rPr>
          <w:bCs/>
          <w:szCs w:val="24"/>
        </w:rPr>
        <w:t>В чл. 3.4.</w:t>
      </w:r>
      <w:r>
        <w:rPr>
          <w:bCs/>
          <w:szCs w:val="24"/>
        </w:rPr>
        <w:t xml:space="preserve"> (б)</w:t>
      </w:r>
      <w:r w:rsidRPr="00251117">
        <w:rPr>
          <w:bCs/>
          <w:szCs w:val="24"/>
        </w:rPr>
        <w:t xml:space="preserve"> се добавя</w:t>
      </w:r>
      <w:r>
        <w:rPr>
          <w:bCs/>
          <w:szCs w:val="24"/>
        </w:rPr>
        <w:t>т</w:t>
      </w:r>
      <w:r w:rsidRPr="00251117">
        <w:rPr>
          <w:bCs/>
          <w:szCs w:val="24"/>
        </w:rPr>
        <w:t xml:space="preserve"> изречение второ</w:t>
      </w:r>
      <w:r>
        <w:rPr>
          <w:bCs/>
          <w:szCs w:val="24"/>
        </w:rPr>
        <w:t xml:space="preserve"> и трето</w:t>
      </w:r>
      <w:r w:rsidRPr="00251117">
        <w:rPr>
          <w:bCs/>
          <w:i/>
          <w:szCs w:val="24"/>
        </w:rPr>
        <w:t>: „Когато действията по изречение първо са необходими във връзка с изпълнение на задължителните инвестиции, както и за изпълнението от Оператора на Договор за БФП в качеството му на бенефициент, срокът за извършването им от съответния член на АВиК се съобразява със срока за изпълнение на инвестициите, съответно Договора за БФП</w:t>
      </w:r>
      <w:r>
        <w:rPr>
          <w:bCs/>
          <w:i/>
          <w:szCs w:val="24"/>
        </w:rPr>
        <w:t xml:space="preserve">. В случаите, когато тези действия са свързани с изпълнението на проект, финансиран по Договор за БФП, се прилага чл. 7.2 </w:t>
      </w:r>
      <w:r w:rsidRPr="00251117">
        <w:rPr>
          <w:bCs/>
          <w:szCs w:val="24"/>
        </w:rPr>
        <w:t>(</w:t>
      </w:r>
      <w:r w:rsidRPr="00311232">
        <w:rPr>
          <w:i/>
          <w:color w:val="000000"/>
        </w:rPr>
        <w:t>д), изречение второ</w:t>
      </w:r>
      <w:r w:rsidRPr="007168FA">
        <w:rPr>
          <w:i/>
          <w:color w:val="000000"/>
          <w:lang w:val="ru-RU"/>
        </w:rPr>
        <w:t>.</w:t>
      </w:r>
      <w:r w:rsidRPr="00251117">
        <w:rPr>
          <w:bCs/>
          <w:i/>
          <w:szCs w:val="24"/>
        </w:rPr>
        <w:t>“</w:t>
      </w:r>
    </w:p>
    <w:p w:rsidR="00AC69D8" w:rsidRPr="007168FA" w:rsidRDefault="00AC69D8" w:rsidP="0032536A">
      <w:pPr>
        <w:spacing w:before="240" w:after="0" w:line="240" w:lineRule="auto"/>
        <w:rPr>
          <w:b/>
          <w:bCs/>
          <w:szCs w:val="24"/>
          <w:lang w:val="ru-RU"/>
        </w:rPr>
      </w:pPr>
    </w:p>
    <w:p w:rsidR="00AC69D8" w:rsidRPr="00251117" w:rsidRDefault="00F107CE" w:rsidP="0032536A">
      <w:pPr>
        <w:spacing w:before="240" w:after="0" w:line="240" w:lineRule="auto"/>
        <w:rPr>
          <w:b/>
          <w:bCs/>
          <w:szCs w:val="24"/>
        </w:rPr>
      </w:pPr>
      <w:r>
        <w:rPr>
          <w:b/>
          <w:bCs/>
          <w:szCs w:val="24"/>
        </w:rPr>
        <w:t>§</w:t>
      </w:r>
      <w:r w:rsidRPr="00251117">
        <w:rPr>
          <w:b/>
          <w:bCs/>
          <w:szCs w:val="24"/>
        </w:rPr>
        <w:t xml:space="preserve"> </w:t>
      </w:r>
      <w:r w:rsidR="00AC69D8" w:rsidRPr="00251117">
        <w:rPr>
          <w:b/>
          <w:bCs/>
          <w:szCs w:val="24"/>
        </w:rPr>
        <w:t>3. В чл. 4 „Активи“ се правят следните изменения:</w:t>
      </w:r>
    </w:p>
    <w:p w:rsidR="00AC69D8" w:rsidRPr="00251117" w:rsidRDefault="00AC69D8" w:rsidP="0032536A">
      <w:pPr>
        <w:spacing w:before="120" w:after="120" w:line="240" w:lineRule="auto"/>
        <w:rPr>
          <w:bCs/>
          <w:szCs w:val="24"/>
          <w:lang w:val="ru-RU"/>
        </w:rPr>
      </w:pPr>
      <w:r w:rsidRPr="00251117">
        <w:rPr>
          <w:b/>
          <w:bCs/>
          <w:szCs w:val="24"/>
        </w:rPr>
        <w:t>3.1.</w:t>
      </w:r>
      <w:r w:rsidRPr="00251117">
        <w:rPr>
          <w:bCs/>
          <w:szCs w:val="24"/>
        </w:rPr>
        <w:t xml:space="preserve"> В чл. 4.2. (в), изречение първо думите „не по-късно от четири години от датата на влизане в сила на Договора“ се заличават. </w:t>
      </w:r>
    </w:p>
    <w:p w:rsidR="00AC69D8" w:rsidRPr="007168FA" w:rsidRDefault="00AC69D8" w:rsidP="0032536A">
      <w:pPr>
        <w:spacing w:after="120" w:line="240" w:lineRule="auto"/>
        <w:rPr>
          <w:bCs/>
          <w:i/>
          <w:szCs w:val="24"/>
          <w:lang w:val="ru-RU"/>
        </w:rPr>
      </w:pPr>
      <w:r w:rsidRPr="00251117">
        <w:rPr>
          <w:b/>
          <w:bCs/>
          <w:szCs w:val="24"/>
        </w:rPr>
        <w:t>3.2.</w:t>
      </w:r>
      <w:r w:rsidRPr="00251117">
        <w:rPr>
          <w:bCs/>
          <w:szCs w:val="24"/>
        </w:rPr>
        <w:t xml:space="preserve"> В чл. 4.4. (б), изречение второ се изменя така:</w:t>
      </w:r>
      <w:r w:rsidRPr="00251117">
        <w:rPr>
          <w:bCs/>
          <w:i/>
          <w:szCs w:val="24"/>
        </w:rPr>
        <w:t xml:space="preserve"> „Изречение първо се прилага и към Публичните активи, които към датата на сключване на Договора не са включени поради пропуск в съставени протоколи за разделяне по смисъла на § 9 от Преходните и заключителните разпоредби на Закона за изменение и допълнение на Закона за водите (обн., ДВ,  бр. 103 от 29.11.2013 г.) и по този причина не са включени в Приложение І</w:t>
      </w:r>
      <w:r w:rsidRPr="007168FA">
        <w:rPr>
          <w:bCs/>
          <w:i/>
          <w:szCs w:val="24"/>
          <w:lang w:val="ru-RU"/>
        </w:rPr>
        <w:t>.</w:t>
      </w:r>
      <w:r>
        <w:rPr>
          <w:bCs/>
          <w:i/>
          <w:szCs w:val="24"/>
        </w:rPr>
        <w:t>“</w:t>
      </w:r>
    </w:p>
    <w:p w:rsidR="00AC69D8" w:rsidRPr="00251117" w:rsidRDefault="00AC69D8" w:rsidP="0032536A">
      <w:pPr>
        <w:spacing w:after="120" w:line="240" w:lineRule="auto"/>
        <w:rPr>
          <w:bCs/>
          <w:szCs w:val="24"/>
        </w:rPr>
      </w:pPr>
      <w:r w:rsidRPr="00251117">
        <w:rPr>
          <w:b/>
          <w:bCs/>
          <w:szCs w:val="24"/>
        </w:rPr>
        <w:t>3.3.</w:t>
      </w:r>
      <w:r w:rsidRPr="00251117">
        <w:rPr>
          <w:bCs/>
          <w:szCs w:val="24"/>
        </w:rPr>
        <w:t xml:space="preserve"> В чл. 4.4. (г), изречение четвърто се изменя така:</w:t>
      </w:r>
      <w:r w:rsidRPr="00251117">
        <w:rPr>
          <w:bCs/>
          <w:i/>
          <w:szCs w:val="24"/>
        </w:rPr>
        <w:t xml:space="preserve"> „С всяко отделно прието уведомление по този чл. 4.4. (г), съответно с всяко отделно Допълнително споразумение АВиК изготвя към Приложение І ново Приложение с пореден номер, надлежно подписано и подпечатано, в което се посочват отделно активите, добавени към Приложение І с това уведомление/Допълнително споразумение.“</w:t>
      </w:r>
    </w:p>
    <w:p w:rsidR="00AC69D8" w:rsidRDefault="00AC69D8" w:rsidP="0032536A">
      <w:pPr>
        <w:spacing w:after="120" w:line="240" w:lineRule="auto"/>
        <w:rPr>
          <w:b/>
          <w:bCs/>
          <w:szCs w:val="24"/>
        </w:rPr>
      </w:pPr>
    </w:p>
    <w:p w:rsidR="00AC69D8" w:rsidRPr="00251117" w:rsidRDefault="006C3F2F" w:rsidP="0032536A">
      <w:pPr>
        <w:spacing w:after="120" w:line="240" w:lineRule="auto"/>
        <w:rPr>
          <w:b/>
          <w:bCs/>
          <w:szCs w:val="24"/>
        </w:rPr>
      </w:pPr>
      <w:r>
        <w:rPr>
          <w:b/>
          <w:bCs/>
          <w:szCs w:val="24"/>
        </w:rPr>
        <w:t>§</w:t>
      </w:r>
      <w:r w:rsidRPr="00251117">
        <w:rPr>
          <w:b/>
          <w:bCs/>
          <w:szCs w:val="24"/>
        </w:rPr>
        <w:t xml:space="preserve"> </w:t>
      </w:r>
      <w:r w:rsidR="00AC69D8" w:rsidRPr="00251117">
        <w:rPr>
          <w:b/>
          <w:bCs/>
          <w:szCs w:val="24"/>
        </w:rPr>
        <w:t>4. В чл. 5 „Предоставяне на услугите“ се прави следното изменение</w:t>
      </w:r>
      <w:r w:rsidR="00AC69D8">
        <w:rPr>
          <w:b/>
          <w:bCs/>
          <w:szCs w:val="24"/>
        </w:rPr>
        <w:t xml:space="preserve"> и допълнение</w:t>
      </w:r>
      <w:r w:rsidR="00AC69D8" w:rsidRPr="00251117">
        <w:rPr>
          <w:b/>
          <w:bCs/>
          <w:szCs w:val="24"/>
        </w:rPr>
        <w:t>:</w:t>
      </w:r>
    </w:p>
    <w:p w:rsidR="00AC69D8" w:rsidRPr="007168FA" w:rsidRDefault="00AC69D8" w:rsidP="0032536A">
      <w:pPr>
        <w:spacing w:after="120" w:line="240" w:lineRule="auto"/>
        <w:rPr>
          <w:bCs/>
          <w:i/>
          <w:szCs w:val="24"/>
          <w:lang w:val="ru-RU"/>
        </w:rPr>
      </w:pPr>
      <w:r w:rsidRPr="00251117">
        <w:rPr>
          <w:bCs/>
          <w:szCs w:val="24"/>
        </w:rPr>
        <w:t xml:space="preserve">В чл. 5.5. (е), изречение трето се изменя </w:t>
      </w:r>
      <w:r>
        <w:rPr>
          <w:bCs/>
          <w:szCs w:val="24"/>
        </w:rPr>
        <w:t>и се създава изречение четвърто, както следва</w:t>
      </w:r>
      <w:r w:rsidRPr="00251117">
        <w:rPr>
          <w:bCs/>
          <w:szCs w:val="24"/>
        </w:rPr>
        <w:t>:</w:t>
      </w:r>
      <w:r w:rsidRPr="00251117">
        <w:rPr>
          <w:b/>
          <w:bCs/>
          <w:szCs w:val="24"/>
        </w:rPr>
        <w:t xml:space="preserve"> </w:t>
      </w:r>
      <w:r w:rsidRPr="00251117">
        <w:rPr>
          <w:bCs/>
          <w:i/>
          <w:szCs w:val="24"/>
        </w:rPr>
        <w:t>„Освен ако друго е посочено в нормативен акт или този Договор, включително в допълнително споразумение към него, съответните членове на АВиК ще извършат за своя сметка действията по отчуждаване на земите, които попадат в пояс І на санитарно-охранителните зони, и ще обезщетят собствениците за ограничаването на правата им в останалите пояси</w:t>
      </w:r>
      <w:r>
        <w:rPr>
          <w:bCs/>
          <w:i/>
          <w:szCs w:val="24"/>
        </w:rPr>
        <w:t>. В случаите, когато действията по изречение трето са свързани с изпълнението на проект, финансиран по Договор за БФП, се прилага чл</w:t>
      </w:r>
      <w:r w:rsidRPr="000C24FD">
        <w:rPr>
          <w:bCs/>
          <w:i/>
          <w:szCs w:val="24"/>
        </w:rPr>
        <w:t>. 7.2 (</w:t>
      </w:r>
      <w:r w:rsidRPr="000C24FD">
        <w:rPr>
          <w:i/>
          <w:color w:val="000000"/>
        </w:rPr>
        <w:t>д), изречение второ</w:t>
      </w:r>
      <w:r w:rsidRPr="007168FA">
        <w:rPr>
          <w:i/>
          <w:color w:val="000000"/>
          <w:lang w:val="ru-RU"/>
        </w:rPr>
        <w:t>.</w:t>
      </w:r>
      <w:r>
        <w:rPr>
          <w:bCs/>
          <w:i/>
          <w:szCs w:val="24"/>
        </w:rPr>
        <w:t>“</w:t>
      </w:r>
    </w:p>
    <w:p w:rsidR="00AC69D8" w:rsidRDefault="00AC69D8" w:rsidP="0032536A">
      <w:pPr>
        <w:spacing w:before="240" w:after="0" w:line="240" w:lineRule="auto"/>
        <w:rPr>
          <w:b/>
          <w:bCs/>
          <w:szCs w:val="24"/>
        </w:rPr>
      </w:pPr>
    </w:p>
    <w:p w:rsidR="00AC69D8" w:rsidRPr="00251117" w:rsidRDefault="009618A9" w:rsidP="00D230A0">
      <w:pPr>
        <w:spacing w:before="240" w:after="0" w:line="240" w:lineRule="auto"/>
        <w:rPr>
          <w:b/>
          <w:bCs/>
          <w:szCs w:val="24"/>
        </w:rPr>
      </w:pPr>
      <w:r>
        <w:rPr>
          <w:b/>
          <w:bCs/>
          <w:szCs w:val="24"/>
        </w:rPr>
        <w:t>§</w:t>
      </w:r>
      <w:r w:rsidRPr="00251117">
        <w:rPr>
          <w:b/>
          <w:bCs/>
          <w:szCs w:val="24"/>
        </w:rPr>
        <w:t xml:space="preserve"> </w:t>
      </w:r>
      <w:r w:rsidR="00AC69D8" w:rsidRPr="00251117">
        <w:rPr>
          <w:b/>
          <w:bCs/>
          <w:szCs w:val="24"/>
        </w:rPr>
        <w:t>5. В</w:t>
      </w:r>
      <w:r w:rsidR="00AC69D8" w:rsidRPr="00251117">
        <w:rPr>
          <w:b/>
          <w:szCs w:val="24"/>
        </w:rPr>
        <w:t xml:space="preserve"> </w:t>
      </w:r>
      <w:r w:rsidR="00AC69D8" w:rsidRPr="00251117">
        <w:rPr>
          <w:b/>
          <w:bCs/>
          <w:szCs w:val="24"/>
        </w:rPr>
        <w:t>чл. 7 „Инвестиции“ се правят следните изменения и допълнения:</w:t>
      </w:r>
    </w:p>
    <w:p w:rsidR="00AC69D8" w:rsidRPr="000026AF" w:rsidRDefault="00AC69D8" w:rsidP="00D230A0">
      <w:pPr>
        <w:suppressAutoHyphens/>
        <w:spacing w:before="120" w:after="120" w:line="240" w:lineRule="auto"/>
        <w:rPr>
          <w:color w:val="000000"/>
          <w:szCs w:val="24"/>
          <w:lang w:eastAsia="ar-SA"/>
        </w:rPr>
      </w:pPr>
      <w:r w:rsidRPr="000026AF">
        <w:rPr>
          <w:b/>
          <w:bCs/>
          <w:szCs w:val="24"/>
          <w:lang w:eastAsia="ar-SA"/>
        </w:rPr>
        <w:t>5.1.</w:t>
      </w:r>
      <w:r w:rsidRPr="000026AF">
        <w:rPr>
          <w:bCs/>
          <w:szCs w:val="24"/>
          <w:lang w:eastAsia="ar-SA"/>
        </w:rPr>
        <w:t xml:space="preserve"> В чл. 7.1. (</w:t>
      </w:r>
      <w:r w:rsidRPr="000026AF">
        <w:rPr>
          <w:color w:val="000000"/>
          <w:szCs w:val="24"/>
          <w:lang w:eastAsia="ar-SA"/>
        </w:rPr>
        <w:t>а) се създава изречение второ „</w:t>
      </w:r>
      <w:r w:rsidRPr="000026AF">
        <w:rPr>
          <w:i/>
          <w:color w:val="000000"/>
          <w:szCs w:val="24"/>
          <w:lang w:eastAsia="ar-SA"/>
        </w:rPr>
        <w:t xml:space="preserve">Операторът има право да възлага </w:t>
      </w:r>
      <w:r w:rsidR="00496D78">
        <w:rPr>
          <w:i/>
          <w:color w:val="000000"/>
          <w:szCs w:val="24"/>
          <w:lang w:eastAsia="ar-SA"/>
        </w:rPr>
        <w:t xml:space="preserve">проектирането и </w:t>
      </w:r>
      <w:r w:rsidRPr="000026AF">
        <w:rPr>
          <w:i/>
          <w:color w:val="000000"/>
          <w:szCs w:val="24"/>
          <w:lang w:eastAsia="ar-SA"/>
        </w:rPr>
        <w:t>изграждането на ВиК системи и съоръжения</w:t>
      </w:r>
      <w:r w:rsidR="00496D78">
        <w:rPr>
          <w:i/>
          <w:color w:val="000000"/>
          <w:szCs w:val="24"/>
          <w:lang w:eastAsia="ar-SA"/>
        </w:rPr>
        <w:t>.</w:t>
      </w:r>
      <w:r w:rsidRPr="000026AF">
        <w:rPr>
          <w:color w:val="000000"/>
          <w:szCs w:val="24"/>
          <w:lang w:eastAsia="ar-SA"/>
        </w:rPr>
        <w:t>.“</w:t>
      </w:r>
    </w:p>
    <w:p w:rsidR="00AC69D8" w:rsidRPr="000026AF" w:rsidRDefault="00AC69D8" w:rsidP="00D230A0">
      <w:pPr>
        <w:suppressAutoHyphens/>
        <w:spacing w:before="120" w:after="120" w:line="240" w:lineRule="auto"/>
        <w:rPr>
          <w:color w:val="000000"/>
          <w:szCs w:val="24"/>
          <w:lang w:eastAsia="ar-SA"/>
        </w:rPr>
      </w:pPr>
      <w:r w:rsidRPr="000026AF">
        <w:rPr>
          <w:b/>
          <w:color w:val="000000"/>
          <w:szCs w:val="24"/>
          <w:lang w:eastAsia="ar-SA"/>
        </w:rPr>
        <w:t xml:space="preserve">5.2.  </w:t>
      </w:r>
      <w:r w:rsidRPr="000026AF">
        <w:rPr>
          <w:color w:val="000000"/>
          <w:szCs w:val="24"/>
          <w:lang w:eastAsia="ar-SA"/>
        </w:rPr>
        <w:t>В чл. 7.1. се създава буква (е) със следното съдържание:</w:t>
      </w:r>
    </w:p>
    <w:p w:rsidR="00AC69D8" w:rsidRPr="000026AF" w:rsidRDefault="00AC69D8" w:rsidP="00D230A0">
      <w:pPr>
        <w:suppressAutoHyphens/>
        <w:spacing w:before="120" w:after="120" w:line="240" w:lineRule="auto"/>
        <w:rPr>
          <w:i/>
          <w:color w:val="000000"/>
          <w:szCs w:val="24"/>
          <w:lang w:eastAsia="ar-SA"/>
        </w:rPr>
      </w:pPr>
      <w:r w:rsidRPr="000026AF">
        <w:rPr>
          <w:i/>
          <w:color w:val="000000"/>
          <w:szCs w:val="24"/>
          <w:lang w:eastAsia="ar-SA"/>
        </w:rPr>
        <w:t xml:space="preserve">„(е) В случай, че Операторът е допустим бенефициент за предоставяне на финансиране с БФП по  </w:t>
      </w:r>
      <w:r w:rsidRPr="000026AF">
        <w:rPr>
          <w:i/>
          <w:spacing w:val="3"/>
        </w:rPr>
        <w:t xml:space="preserve">програма на Европейския съюз, финансирана от Европейските структурни и инвестиционни фондове, същият </w:t>
      </w:r>
      <w:r>
        <w:rPr>
          <w:i/>
          <w:spacing w:val="3"/>
        </w:rPr>
        <w:t>ще</w:t>
      </w:r>
      <w:r w:rsidRPr="000026AF">
        <w:rPr>
          <w:i/>
          <w:spacing w:val="3"/>
        </w:rPr>
        <w:t xml:space="preserve"> кандидатства в рамките на условията на съответната програма на базата на разработено инвестиционно намерение.“</w:t>
      </w:r>
    </w:p>
    <w:p w:rsidR="00AC69D8" w:rsidRPr="00251117" w:rsidRDefault="00AC69D8" w:rsidP="00D230A0">
      <w:pPr>
        <w:spacing w:before="120" w:after="120" w:line="240" w:lineRule="auto"/>
        <w:rPr>
          <w:b/>
          <w:bCs/>
          <w:szCs w:val="24"/>
        </w:rPr>
      </w:pPr>
      <w:r w:rsidRPr="00251117">
        <w:rPr>
          <w:b/>
          <w:bCs/>
          <w:szCs w:val="24"/>
        </w:rPr>
        <w:t>5.</w:t>
      </w:r>
      <w:r>
        <w:rPr>
          <w:b/>
          <w:bCs/>
          <w:szCs w:val="24"/>
        </w:rPr>
        <w:t>3</w:t>
      </w:r>
      <w:r w:rsidRPr="00251117">
        <w:rPr>
          <w:b/>
          <w:bCs/>
          <w:szCs w:val="24"/>
        </w:rPr>
        <w:t>.</w:t>
      </w:r>
      <w:r w:rsidRPr="00251117">
        <w:rPr>
          <w:bCs/>
          <w:szCs w:val="24"/>
        </w:rPr>
        <w:t xml:space="preserve"> В чл.</w:t>
      </w:r>
      <w:r w:rsidRPr="00251117">
        <w:rPr>
          <w:b/>
          <w:bCs/>
          <w:szCs w:val="24"/>
        </w:rPr>
        <w:t xml:space="preserve"> </w:t>
      </w:r>
      <w:r w:rsidRPr="00251117">
        <w:rPr>
          <w:bCs/>
          <w:szCs w:val="24"/>
        </w:rPr>
        <w:t>7.2. (г)</w:t>
      </w:r>
      <w:r w:rsidRPr="00251117">
        <w:rPr>
          <w:b/>
          <w:bCs/>
          <w:szCs w:val="24"/>
        </w:rPr>
        <w:t xml:space="preserve"> </w:t>
      </w:r>
      <w:r w:rsidRPr="00251117">
        <w:rPr>
          <w:bCs/>
          <w:szCs w:val="24"/>
        </w:rPr>
        <w:t>думите „Освен ако е предвидено друго в Договора“ се заменят с „</w:t>
      </w:r>
      <w:r w:rsidRPr="00251117">
        <w:rPr>
          <w:bCs/>
          <w:i/>
          <w:szCs w:val="24"/>
        </w:rPr>
        <w:t>Освен ако друго е посочено в нормативен акт или този Договор, включително в допълнително споразумение към него</w:t>
      </w:r>
      <w:r w:rsidRPr="00251117">
        <w:rPr>
          <w:bCs/>
          <w:szCs w:val="24"/>
        </w:rPr>
        <w:t>“.</w:t>
      </w:r>
    </w:p>
    <w:p w:rsidR="00AC69D8" w:rsidRPr="00251117" w:rsidRDefault="00AC69D8" w:rsidP="00D230A0">
      <w:pPr>
        <w:spacing w:after="120" w:line="240" w:lineRule="auto"/>
        <w:rPr>
          <w:b/>
          <w:bCs/>
          <w:szCs w:val="24"/>
        </w:rPr>
      </w:pPr>
      <w:r w:rsidRPr="00251117">
        <w:rPr>
          <w:b/>
          <w:bCs/>
          <w:szCs w:val="24"/>
        </w:rPr>
        <w:t>5.</w:t>
      </w:r>
      <w:r>
        <w:rPr>
          <w:b/>
          <w:bCs/>
          <w:szCs w:val="24"/>
        </w:rPr>
        <w:t>4</w:t>
      </w:r>
      <w:r w:rsidRPr="00251117">
        <w:rPr>
          <w:b/>
          <w:bCs/>
          <w:szCs w:val="24"/>
        </w:rPr>
        <w:t xml:space="preserve">. </w:t>
      </w:r>
      <w:r>
        <w:rPr>
          <w:bCs/>
          <w:szCs w:val="24"/>
        </w:rPr>
        <w:t>Ч</w:t>
      </w:r>
      <w:r w:rsidRPr="00251117">
        <w:rPr>
          <w:bCs/>
          <w:szCs w:val="24"/>
        </w:rPr>
        <w:t>л. 7.2. (д) се изменя така:</w:t>
      </w:r>
      <w:r w:rsidRPr="00251117">
        <w:rPr>
          <w:b/>
          <w:bCs/>
          <w:szCs w:val="24"/>
        </w:rPr>
        <w:t xml:space="preserve"> </w:t>
      </w:r>
    </w:p>
    <w:p w:rsidR="00AC69D8" w:rsidRPr="00C34147" w:rsidRDefault="00AC69D8" w:rsidP="00D230A0">
      <w:pPr>
        <w:spacing w:after="120" w:line="240" w:lineRule="auto"/>
        <w:rPr>
          <w:b/>
          <w:color w:val="00B050"/>
          <w:spacing w:val="3"/>
        </w:rPr>
      </w:pPr>
      <w:r w:rsidRPr="00C34147">
        <w:rPr>
          <w:i/>
          <w:szCs w:val="24"/>
        </w:rPr>
        <w:t>„</w:t>
      </w:r>
      <w:r w:rsidRPr="00C34147">
        <w:rPr>
          <w:i/>
          <w:color w:val="000000"/>
        </w:rPr>
        <w:t>(д)</w:t>
      </w:r>
      <w:r w:rsidRPr="00C34147">
        <w:rPr>
          <w:i/>
          <w:szCs w:val="24"/>
        </w:rPr>
        <w:t xml:space="preserve"> Всички разходи за извършване на процедурите по учредяване на сервитути, придобиване на ограничени вещни права или отчуждаване на имоти за целите на осъществяване на Инвестициите, включително разходите за обезщетяване на собствениците на засегнатите имоти, са задължение на собственика на съответния Актив и се извършват за негова сметка, съгласно чл. 3.4. (б) и чл. 5.5. (е), изречение трето.  Изключение от правилото по изречение първо се допуска, когато разходите за </w:t>
      </w:r>
      <w:r w:rsidRPr="00C34147">
        <w:rPr>
          <w:i/>
          <w:spacing w:val="3"/>
        </w:rPr>
        <w:t>придобиване, включително чрез процедура по отчуждаване, на незастроени и застроени имоти, за учредяване на ограничени вещни права, както и съпътстващи придобиването/отчуждаването/учредяването на правата са допустим разход за Оператора в качеството му на бенефициент в изпълнение на Договор за БФП по програма на Европейския съюз, финансирана от Европейските структурни и инвестиционни фондове.</w:t>
      </w:r>
      <w:r w:rsidRPr="00C34147">
        <w:rPr>
          <w:b/>
          <w:i/>
          <w:spacing w:val="3"/>
        </w:rPr>
        <w:t xml:space="preserve"> </w:t>
      </w:r>
      <w:r w:rsidRPr="00C34147">
        <w:rPr>
          <w:i/>
          <w:szCs w:val="24"/>
        </w:rPr>
        <w:t>Когато в изпълнение на нормативен акт или този Договор, включително допълнително споразумение към него, ВиК операторът извърши разходи за действие по изречения първо и второ, те се считат за Инвестиции за Оператора, ако отговарят на изискванията, посочени в Приложение VІІІ</w:t>
      </w:r>
      <w:r w:rsidRPr="00C34147">
        <w:rPr>
          <w:szCs w:val="24"/>
        </w:rPr>
        <w:t xml:space="preserve">.“ </w:t>
      </w:r>
    </w:p>
    <w:p w:rsidR="00AC69D8" w:rsidRPr="00251117" w:rsidRDefault="00AC69D8" w:rsidP="00D230A0">
      <w:pPr>
        <w:spacing w:after="120" w:line="240" w:lineRule="auto"/>
        <w:rPr>
          <w:color w:val="000000"/>
        </w:rPr>
      </w:pPr>
      <w:r w:rsidRPr="00251117">
        <w:rPr>
          <w:b/>
          <w:bCs/>
          <w:szCs w:val="24"/>
        </w:rPr>
        <w:t>5.</w:t>
      </w:r>
      <w:r>
        <w:rPr>
          <w:b/>
          <w:bCs/>
          <w:szCs w:val="24"/>
        </w:rPr>
        <w:t>5</w:t>
      </w:r>
      <w:r w:rsidRPr="00251117">
        <w:rPr>
          <w:color w:val="000000"/>
        </w:rPr>
        <w:t>. В чл. 7.2. се създават букви (е) – (</w:t>
      </w:r>
      <w:r>
        <w:rPr>
          <w:color w:val="000000"/>
        </w:rPr>
        <w:t>з</w:t>
      </w:r>
      <w:r w:rsidRPr="00251117">
        <w:rPr>
          <w:color w:val="000000"/>
        </w:rPr>
        <w:t>) със следното съдържание:</w:t>
      </w:r>
    </w:p>
    <w:p w:rsidR="00AC69D8" w:rsidRPr="00214190" w:rsidRDefault="00AC69D8" w:rsidP="00214190">
      <w:pPr>
        <w:spacing w:after="120" w:line="240" w:lineRule="auto"/>
        <w:rPr>
          <w:i/>
          <w:szCs w:val="24"/>
        </w:rPr>
      </w:pPr>
      <w:r w:rsidRPr="00214190">
        <w:rPr>
          <w:i/>
          <w:szCs w:val="24"/>
        </w:rPr>
        <w:t xml:space="preserve"> „(е) Операторът ще подготви необходимите документи и извърши  своевременно всички необходими действия за кандидатстване </w:t>
      </w:r>
      <w:r w:rsidRPr="005902D2">
        <w:rPr>
          <w:i/>
          <w:szCs w:val="24"/>
        </w:rPr>
        <w:t xml:space="preserve">в процедура чрез </w:t>
      </w:r>
      <w:r w:rsidRPr="005902D2">
        <w:rPr>
          <w:i/>
          <w:szCs w:val="24"/>
        </w:rPr>
        <w:lastRenderedPageBreak/>
        <w:t>директно предоставяне на безвъзмездна финансова помощ № BG161M1OP002-I.016 „Изграждане на ВиК инфраструктура“ по Оперативна програма „Околна среда 2014-</w:t>
      </w:r>
      <w:r w:rsidRPr="0071025F">
        <w:rPr>
          <w:i/>
          <w:szCs w:val="24"/>
        </w:rPr>
        <w:t>2020 г.“ за получаване на БФП с общ размер на финансиране не повече от 10</w:t>
      </w:r>
      <w:r w:rsidR="007945D3" w:rsidRPr="0071025F">
        <w:rPr>
          <w:i/>
          <w:szCs w:val="24"/>
        </w:rPr>
        <w:t>7</w:t>
      </w:r>
      <w:r w:rsidRPr="0071025F">
        <w:rPr>
          <w:i/>
          <w:szCs w:val="24"/>
        </w:rPr>
        <w:t xml:space="preserve"> 000 000.00</w:t>
      </w:r>
      <w:r w:rsidRPr="0071025F" w:rsidDel="005857B0">
        <w:rPr>
          <w:i/>
          <w:szCs w:val="24"/>
        </w:rPr>
        <w:t xml:space="preserve"> </w:t>
      </w:r>
      <w:r w:rsidRPr="0071025F">
        <w:rPr>
          <w:i/>
          <w:szCs w:val="24"/>
        </w:rPr>
        <w:t xml:space="preserve">(словом: сто и </w:t>
      </w:r>
      <w:r w:rsidR="007945D3" w:rsidRPr="0071025F">
        <w:rPr>
          <w:i/>
          <w:szCs w:val="24"/>
        </w:rPr>
        <w:t xml:space="preserve">седем </w:t>
      </w:r>
      <w:r w:rsidRPr="0071025F">
        <w:rPr>
          <w:i/>
          <w:szCs w:val="24"/>
        </w:rPr>
        <w:t>милиона) лева с ДДС, включително собственото участие и недопустимите разходи.</w:t>
      </w:r>
    </w:p>
    <w:p w:rsidR="00AC69D8" w:rsidRPr="005902D2" w:rsidRDefault="00AC69D8" w:rsidP="00214190">
      <w:pPr>
        <w:spacing w:after="120" w:line="240" w:lineRule="auto"/>
        <w:rPr>
          <w:i/>
          <w:szCs w:val="24"/>
        </w:rPr>
      </w:pPr>
      <w:r w:rsidRPr="005902D2">
        <w:rPr>
          <w:i/>
          <w:szCs w:val="24"/>
        </w:rPr>
        <w:t xml:space="preserve"> (ж) За целите на процедурата по получаване на БФП по чл. 7.2. </w:t>
      </w:r>
      <w:r w:rsidRPr="00214190">
        <w:rPr>
          <w:i/>
          <w:szCs w:val="24"/>
        </w:rPr>
        <w:t xml:space="preserve">(е) </w:t>
      </w:r>
      <w:r w:rsidRPr="005902D2">
        <w:rPr>
          <w:i/>
          <w:szCs w:val="24"/>
        </w:rPr>
        <w:t>Операторът ще осигури необходимите финансови ресурси за покриване на разходите, които са задължение на бенефициента, съгласно Насоките за кандидатстване, общите условия и Договора за БФП.</w:t>
      </w:r>
    </w:p>
    <w:p w:rsidR="00AC69D8" w:rsidRPr="005902D2" w:rsidRDefault="00AC69D8" w:rsidP="00214190">
      <w:pPr>
        <w:spacing w:after="120" w:line="240" w:lineRule="auto"/>
        <w:rPr>
          <w:i/>
          <w:szCs w:val="24"/>
        </w:rPr>
      </w:pPr>
      <w:r w:rsidRPr="005902D2">
        <w:rPr>
          <w:i/>
          <w:szCs w:val="24"/>
        </w:rPr>
        <w:t>(з)</w:t>
      </w:r>
      <w:r w:rsidRPr="00214190">
        <w:rPr>
          <w:i/>
          <w:szCs w:val="24"/>
        </w:rPr>
        <w:t xml:space="preserve"> Изградените в изпълнение на Договора за БФП Публични активи ще бъдат предоставени за експлоатация по реда на чл. 4.4. </w:t>
      </w:r>
      <w:r w:rsidRPr="005902D2">
        <w:rPr>
          <w:i/>
          <w:szCs w:val="24"/>
        </w:rPr>
        <w:t>(г)</w:t>
      </w:r>
      <w:r w:rsidRPr="00214190">
        <w:rPr>
          <w:i/>
          <w:szCs w:val="24"/>
        </w:rPr>
        <w:t>.</w:t>
      </w:r>
      <w:r w:rsidRPr="005902D2">
        <w:rPr>
          <w:i/>
          <w:szCs w:val="24"/>
        </w:rPr>
        <w:t>“</w:t>
      </w:r>
      <w:r w:rsidRPr="00214190">
        <w:rPr>
          <w:i/>
          <w:szCs w:val="24"/>
        </w:rPr>
        <w:t xml:space="preserve"> </w:t>
      </w:r>
    </w:p>
    <w:p w:rsidR="00AC69D8" w:rsidRDefault="00AC69D8" w:rsidP="0032536A">
      <w:pPr>
        <w:spacing w:before="240" w:after="0" w:line="240" w:lineRule="auto"/>
        <w:rPr>
          <w:b/>
          <w:bCs/>
          <w:szCs w:val="24"/>
        </w:rPr>
      </w:pPr>
    </w:p>
    <w:p w:rsidR="00AC69D8" w:rsidRPr="00251117" w:rsidRDefault="00640128" w:rsidP="0032536A">
      <w:pPr>
        <w:spacing w:before="240" w:after="0" w:line="240" w:lineRule="auto"/>
        <w:rPr>
          <w:b/>
          <w:bCs/>
          <w:szCs w:val="24"/>
        </w:rPr>
      </w:pPr>
      <w:r>
        <w:rPr>
          <w:b/>
          <w:bCs/>
          <w:szCs w:val="24"/>
        </w:rPr>
        <w:t>§</w:t>
      </w:r>
      <w:r w:rsidRPr="00251117">
        <w:rPr>
          <w:b/>
          <w:bCs/>
          <w:szCs w:val="24"/>
        </w:rPr>
        <w:t xml:space="preserve"> </w:t>
      </w:r>
      <w:r w:rsidR="00AC69D8" w:rsidRPr="00251117">
        <w:rPr>
          <w:b/>
          <w:bCs/>
          <w:szCs w:val="24"/>
        </w:rPr>
        <w:t>6. В чл. 17 „Прекратяване“ се прави следното изменение:</w:t>
      </w:r>
    </w:p>
    <w:p w:rsidR="00AC69D8" w:rsidRPr="00251117" w:rsidRDefault="00AC69D8" w:rsidP="0032536A">
      <w:pPr>
        <w:spacing w:before="240" w:after="0" w:line="240" w:lineRule="auto"/>
        <w:rPr>
          <w:bCs/>
          <w:szCs w:val="24"/>
        </w:rPr>
      </w:pPr>
      <w:r w:rsidRPr="00251117">
        <w:rPr>
          <w:bCs/>
          <w:szCs w:val="24"/>
        </w:rPr>
        <w:t>В чл. 17.1. (а), т. (vi) се изменя така:</w:t>
      </w:r>
    </w:p>
    <w:p w:rsidR="00AC69D8" w:rsidRPr="00251117" w:rsidRDefault="00AC69D8" w:rsidP="0032536A">
      <w:pPr>
        <w:spacing w:before="120" w:after="0" w:line="240" w:lineRule="auto"/>
        <w:rPr>
          <w:lang w:val="ru-RU"/>
        </w:rPr>
      </w:pPr>
      <w:r w:rsidRPr="00251117">
        <w:rPr>
          <w:bCs/>
          <w:i/>
          <w:szCs w:val="24"/>
        </w:rPr>
        <w:t>„vi.</w:t>
      </w:r>
      <w:r w:rsidRPr="00251117" w:rsidDel="009E7E0F">
        <w:rPr>
          <w:bCs/>
          <w:i/>
          <w:szCs w:val="24"/>
        </w:rPr>
        <w:t xml:space="preserve"> </w:t>
      </w:r>
      <w:r w:rsidRPr="00251117">
        <w:rPr>
          <w:bCs/>
          <w:i/>
          <w:szCs w:val="24"/>
        </w:rPr>
        <w:t>автоматично, от момент</w:t>
      </w:r>
      <w:r>
        <w:rPr>
          <w:bCs/>
          <w:i/>
          <w:szCs w:val="24"/>
        </w:rPr>
        <w:t>а на придобиването на дялове</w:t>
      </w:r>
      <w:r w:rsidRPr="00251117">
        <w:rPr>
          <w:bCs/>
          <w:i/>
          <w:szCs w:val="24"/>
        </w:rPr>
        <w:t xml:space="preserve"> от капитала на ВиКО, освен когато придобиването им е от българската държава, българска община или от търговец, едноличен собственик на който е българската държава</w:t>
      </w:r>
      <w:r>
        <w:rPr>
          <w:bCs/>
          <w:i/>
          <w:szCs w:val="24"/>
        </w:rPr>
        <w:t>;</w:t>
      </w:r>
      <w:r w:rsidRPr="00251117">
        <w:rPr>
          <w:bCs/>
          <w:i/>
          <w:szCs w:val="24"/>
        </w:rPr>
        <w:t>“</w:t>
      </w:r>
    </w:p>
    <w:p w:rsidR="00AC69D8" w:rsidRDefault="00AC69D8" w:rsidP="0032536A">
      <w:pPr>
        <w:widowControl w:val="0"/>
        <w:shd w:val="clear" w:color="auto" w:fill="FFFFFF"/>
        <w:spacing w:before="240" w:after="0" w:line="240" w:lineRule="auto"/>
        <w:rPr>
          <w:b/>
          <w:bCs/>
          <w:szCs w:val="24"/>
          <w:lang w:eastAsia="bg-BG"/>
        </w:rPr>
      </w:pPr>
    </w:p>
    <w:p w:rsidR="00AC69D8" w:rsidRPr="00251117" w:rsidRDefault="00E22193" w:rsidP="0032536A">
      <w:pPr>
        <w:widowControl w:val="0"/>
        <w:shd w:val="clear" w:color="auto" w:fill="FFFFFF"/>
        <w:spacing w:before="240" w:after="0" w:line="240" w:lineRule="auto"/>
        <w:rPr>
          <w:b/>
          <w:bCs/>
          <w:szCs w:val="24"/>
          <w:lang w:eastAsia="bg-BG"/>
        </w:rPr>
      </w:pPr>
      <w:r>
        <w:rPr>
          <w:b/>
          <w:bCs/>
          <w:szCs w:val="24"/>
          <w:lang w:eastAsia="bg-BG"/>
        </w:rPr>
        <w:t>§</w:t>
      </w:r>
      <w:r w:rsidRPr="00251117">
        <w:rPr>
          <w:b/>
          <w:bCs/>
          <w:szCs w:val="24"/>
          <w:lang w:eastAsia="bg-BG"/>
        </w:rPr>
        <w:t xml:space="preserve"> </w:t>
      </w:r>
      <w:r w:rsidR="00AC69D8" w:rsidRPr="00251117">
        <w:rPr>
          <w:b/>
          <w:bCs/>
          <w:szCs w:val="24"/>
          <w:lang w:eastAsia="bg-BG"/>
        </w:rPr>
        <w:t>7. Други изменения</w:t>
      </w:r>
    </w:p>
    <w:p w:rsidR="00AC69D8" w:rsidRPr="00251117" w:rsidRDefault="00AC69D8" w:rsidP="0032536A">
      <w:pPr>
        <w:widowControl w:val="0"/>
        <w:shd w:val="clear" w:color="auto" w:fill="FFFFFF"/>
        <w:spacing w:before="240" w:after="0" w:line="240" w:lineRule="auto"/>
        <w:rPr>
          <w:b/>
          <w:bCs/>
          <w:szCs w:val="24"/>
          <w:lang w:eastAsia="bg-BG"/>
        </w:rPr>
      </w:pPr>
      <w:r w:rsidRPr="00251117">
        <w:rPr>
          <w:bCs/>
          <w:szCs w:val="24"/>
          <w:lang w:eastAsia="bg-BG"/>
        </w:rPr>
        <w:t>Навсякъде в текста на Договора думата „анекс/а/ът“ се заменя с „</w:t>
      </w:r>
      <w:r w:rsidRPr="00251117">
        <w:rPr>
          <w:bCs/>
          <w:i/>
          <w:szCs w:val="24"/>
          <w:lang w:eastAsia="bg-BG"/>
        </w:rPr>
        <w:t>допълнително/то споразумение</w:t>
      </w:r>
      <w:r w:rsidRPr="00251117">
        <w:rPr>
          <w:bCs/>
          <w:szCs w:val="24"/>
          <w:lang w:eastAsia="bg-BG"/>
        </w:rPr>
        <w:t xml:space="preserve">“. </w:t>
      </w:r>
    </w:p>
    <w:p w:rsidR="00AC69D8" w:rsidRPr="00251117" w:rsidRDefault="00AC69D8" w:rsidP="0032536A">
      <w:pPr>
        <w:widowControl w:val="0"/>
        <w:shd w:val="clear" w:color="auto" w:fill="FFFFFF"/>
        <w:spacing w:after="0" w:line="240" w:lineRule="auto"/>
        <w:rPr>
          <w:b/>
          <w:bCs/>
          <w:szCs w:val="24"/>
          <w:lang w:val="ru-RU" w:eastAsia="bg-BG"/>
        </w:rPr>
      </w:pPr>
    </w:p>
    <w:p w:rsidR="00AC69D8" w:rsidRDefault="00AC69D8" w:rsidP="0032536A">
      <w:pPr>
        <w:spacing w:after="0" w:line="240" w:lineRule="auto"/>
        <w:rPr>
          <w:b/>
          <w:bCs/>
          <w:szCs w:val="24"/>
        </w:rPr>
      </w:pPr>
    </w:p>
    <w:p w:rsidR="00AC69D8" w:rsidRPr="00251117" w:rsidRDefault="00E22193" w:rsidP="0032536A">
      <w:pPr>
        <w:spacing w:after="0" w:line="240" w:lineRule="auto"/>
        <w:rPr>
          <w:b/>
          <w:szCs w:val="24"/>
        </w:rPr>
      </w:pPr>
      <w:r>
        <w:rPr>
          <w:b/>
          <w:bCs/>
          <w:szCs w:val="24"/>
        </w:rPr>
        <w:t>§</w:t>
      </w:r>
      <w:r w:rsidRPr="00251117">
        <w:rPr>
          <w:b/>
          <w:bCs/>
          <w:szCs w:val="24"/>
        </w:rPr>
        <w:t xml:space="preserve"> </w:t>
      </w:r>
      <w:r w:rsidR="00AC69D8" w:rsidRPr="00251117">
        <w:rPr>
          <w:b/>
          <w:bCs/>
          <w:szCs w:val="24"/>
        </w:rPr>
        <w:t>8.</w:t>
      </w:r>
      <w:r w:rsidR="00AC69D8" w:rsidRPr="00251117">
        <w:rPr>
          <w:b/>
          <w:szCs w:val="24"/>
        </w:rPr>
        <w:t xml:space="preserve"> Ново Приложение II „</w:t>
      </w:r>
      <w:r w:rsidR="00AC69D8" w:rsidRPr="00251117">
        <w:rPr>
          <w:b/>
          <w:bCs/>
          <w:color w:val="000000"/>
          <w:szCs w:val="24"/>
          <w:lang w:eastAsia="bg-BG"/>
        </w:rPr>
        <w:t>Договорни показатели за качество“ към Договора</w:t>
      </w:r>
    </w:p>
    <w:p w:rsidR="00AC69D8" w:rsidRPr="00251117" w:rsidRDefault="00AC69D8" w:rsidP="0032536A">
      <w:pPr>
        <w:spacing w:after="0" w:line="240" w:lineRule="auto"/>
        <w:rPr>
          <w:szCs w:val="24"/>
        </w:rPr>
      </w:pPr>
    </w:p>
    <w:p w:rsidR="00AC69D8" w:rsidRPr="00251117" w:rsidRDefault="00AC69D8" w:rsidP="0032536A">
      <w:pPr>
        <w:spacing w:after="0" w:line="240" w:lineRule="auto"/>
        <w:rPr>
          <w:szCs w:val="24"/>
        </w:rPr>
      </w:pPr>
      <w:r w:rsidRPr="00251117">
        <w:rPr>
          <w:szCs w:val="24"/>
        </w:rPr>
        <w:t>Действащото Приложение II „Договорни показатели за качество“ към Договора се отменя. Приема се ново</w:t>
      </w:r>
      <w:r w:rsidRPr="00251117" w:rsidDel="00C34EAA">
        <w:rPr>
          <w:szCs w:val="24"/>
        </w:rPr>
        <w:t xml:space="preserve"> </w:t>
      </w:r>
      <w:r w:rsidRPr="00251117">
        <w:rPr>
          <w:szCs w:val="24"/>
        </w:rPr>
        <w:t xml:space="preserve">Приложение II </w:t>
      </w:r>
      <w:r w:rsidRPr="00251117">
        <w:rPr>
          <w:bCs/>
          <w:color w:val="000000"/>
          <w:szCs w:val="24"/>
          <w:lang w:eastAsia="bg-BG"/>
        </w:rPr>
        <w:t>„Договорни показатели за качество“</w:t>
      </w:r>
      <w:r w:rsidRPr="00251117">
        <w:rPr>
          <w:b/>
          <w:szCs w:val="24"/>
        </w:rPr>
        <w:t xml:space="preserve"> </w:t>
      </w:r>
      <w:r w:rsidRPr="00251117">
        <w:rPr>
          <w:szCs w:val="24"/>
        </w:rPr>
        <w:t xml:space="preserve">към Договора с текст съгласно Приложение № 1 към настоящето Допълнително споразумение. </w:t>
      </w:r>
    </w:p>
    <w:p w:rsidR="00AC69D8" w:rsidRPr="00251117" w:rsidRDefault="00AC69D8" w:rsidP="0032536A">
      <w:pPr>
        <w:tabs>
          <w:tab w:val="left" w:pos="4292"/>
        </w:tabs>
        <w:spacing w:after="0" w:line="240" w:lineRule="auto"/>
        <w:rPr>
          <w:b/>
          <w:bCs/>
          <w:szCs w:val="24"/>
        </w:rPr>
      </w:pPr>
      <w:r w:rsidRPr="00251117">
        <w:rPr>
          <w:b/>
          <w:bCs/>
          <w:szCs w:val="24"/>
        </w:rPr>
        <w:tab/>
      </w:r>
    </w:p>
    <w:p w:rsidR="00AC69D8" w:rsidRDefault="00AC69D8" w:rsidP="0032536A">
      <w:pPr>
        <w:spacing w:after="0" w:line="240" w:lineRule="auto"/>
        <w:rPr>
          <w:b/>
          <w:bCs/>
          <w:szCs w:val="24"/>
        </w:rPr>
      </w:pPr>
    </w:p>
    <w:p w:rsidR="00AC69D8" w:rsidRPr="00251117" w:rsidRDefault="00CF1585" w:rsidP="0032536A">
      <w:pPr>
        <w:spacing w:after="0" w:line="240" w:lineRule="auto"/>
        <w:rPr>
          <w:b/>
          <w:szCs w:val="24"/>
        </w:rPr>
      </w:pPr>
      <w:r>
        <w:rPr>
          <w:b/>
          <w:bCs/>
          <w:sz w:val="26"/>
          <w:szCs w:val="24"/>
        </w:rPr>
        <w:t xml:space="preserve">§ </w:t>
      </w:r>
      <w:r w:rsidR="00AC69D8" w:rsidRPr="00251117">
        <w:rPr>
          <w:b/>
          <w:bCs/>
          <w:szCs w:val="24"/>
        </w:rPr>
        <w:t>9</w:t>
      </w:r>
      <w:r w:rsidR="00AC69D8" w:rsidRPr="00251117">
        <w:rPr>
          <w:b/>
          <w:szCs w:val="24"/>
        </w:rPr>
        <w:t xml:space="preserve">. Ново Приложение IX </w:t>
      </w:r>
      <w:r w:rsidR="00AC69D8" w:rsidRPr="00251117">
        <w:rPr>
          <w:b/>
          <w:bCs/>
          <w:color w:val="000000"/>
          <w:szCs w:val="24"/>
          <w:lang w:eastAsia="bg-BG"/>
        </w:rPr>
        <w:t>„Дейности, включени в задължителното ниво на инвестициите“</w:t>
      </w:r>
    </w:p>
    <w:p w:rsidR="00AC69D8" w:rsidRPr="00251117" w:rsidRDefault="00AC69D8" w:rsidP="0032536A">
      <w:pPr>
        <w:spacing w:after="0" w:line="240" w:lineRule="auto"/>
        <w:rPr>
          <w:szCs w:val="24"/>
        </w:rPr>
      </w:pPr>
    </w:p>
    <w:p w:rsidR="00AC69D8" w:rsidRPr="00251117" w:rsidRDefault="00AC69D8" w:rsidP="0032536A">
      <w:pPr>
        <w:spacing w:after="0" w:line="240" w:lineRule="auto"/>
        <w:rPr>
          <w:szCs w:val="24"/>
        </w:rPr>
      </w:pPr>
      <w:r w:rsidRPr="00251117">
        <w:rPr>
          <w:szCs w:val="24"/>
        </w:rPr>
        <w:t>Действащото Приложение IX „Дейности, включени в задължителното ниво на инвестициите“ към Договора се отменя. Приема се ново</w:t>
      </w:r>
      <w:r w:rsidRPr="00251117" w:rsidDel="00C34EAA">
        <w:rPr>
          <w:szCs w:val="24"/>
        </w:rPr>
        <w:t xml:space="preserve"> </w:t>
      </w:r>
      <w:bookmarkStart w:id="2" w:name="_Hlk505357799"/>
      <w:r w:rsidRPr="00251117">
        <w:rPr>
          <w:szCs w:val="24"/>
        </w:rPr>
        <w:t xml:space="preserve">Приложение IX </w:t>
      </w:r>
      <w:r w:rsidRPr="00251117">
        <w:rPr>
          <w:bCs/>
          <w:color w:val="000000"/>
          <w:szCs w:val="24"/>
          <w:lang w:eastAsia="bg-BG"/>
        </w:rPr>
        <w:t xml:space="preserve">„Дейности, включени в задължителното ниво на инвестициите“ към Договора </w:t>
      </w:r>
      <w:bookmarkEnd w:id="2"/>
      <w:r w:rsidRPr="00251117">
        <w:rPr>
          <w:bCs/>
          <w:color w:val="000000"/>
          <w:szCs w:val="24"/>
          <w:lang w:eastAsia="bg-BG"/>
        </w:rPr>
        <w:t>с текст съгласно Приложение № 2 към настоящето Допълнително споразумение</w:t>
      </w:r>
      <w:r w:rsidRPr="00251117">
        <w:rPr>
          <w:szCs w:val="24"/>
        </w:rPr>
        <w:t>.</w:t>
      </w:r>
    </w:p>
    <w:p w:rsidR="00AC69D8" w:rsidRPr="00251117" w:rsidRDefault="00AC69D8" w:rsidP="0032536A">
      <w:pPr>
        <w:widowControl w:val="0"/>
        <w:shd w:val="clear" w:color="auto" w:fill="FFFFFF"/>
        <w:spacing w:after="120" w:line="240" w:lineRule="auto"/>
        <w:rPr>
          <w:b/>
          <w:bCs/>
          <w:szCs w:val="24"/>
          <w:lang w:eastAsia="bg-BG"/>
        </w:rPr>
      </w:pPr>
    </w:p>
    <w:p w:rsidR="00AC69D8" w:rsidRPr="00251117" w:rsidRDefault="00685994" w:rsidP="0032536A">
      <w:pPr>
        <w:widowControl w:val="0"/>
        <w:shd w:val="clear" w:color="auto" w:fill="FFFFFF"/>
        <w:spacing w:after="120" w:line="240" w:lineRule="auto"/>
        <w:rPr>
          <w:b/>
          <w:bCs/>
          <w:szCs w:val="24"/>
          <w:lang w:eastAsia="bg-BG"/>
        </w:rPr>
      </w:pPr>
      <w:r>
        <w:rPr>
          <w:b/>
          <w:bCs/>
          <w:szCs w:val="24"/>
          <w:lang w:val="ru-RU" w:eastAsia="bg-BG"/>
        </w:rPr>
        <w:t>§</w:t>
      </w:r>
      <w:r w:rsidRPr="00251117">
        <w:rPr>
          <w:b/>
          <w:bCs/>
          <w:szCs w:val="24"/>
          <w:lang w:val="ru-RU" w:eastAsia="bg-BG"/>
        </w:rPr>
        <w:t xml:space="preserve"> </w:t>
      </w:r>
      <w:r w:rsidR="00AC69D8" w:rsidRPr="00251117">
        <w:rPr>
          <w:b/>
          <w:bCs/>
          <w:szCs w:val="24"/>
          <w:lang w:val="ru-RU" w:eastAsia="bg-BG"/>
        </w:rPr>
        <w:t xml:space="preserve">10. </w:t>
      </w:r>
      <w:r w:rsidR="00AC69D8" w:rsidRPr="00251117">
        <w:rPr>
          <w:b/>
          <w:bCs/>
          <w:szCs w:val="24"/>
          <w:lang w:eastAsia="bg-BG"/>
        </w:rPr>
        <w:t>Влизане в сила</w:t>
      </w:r>
    </w:p>
    <w:p w:rsidR="00AC69D8" w:rsidRPr="00251117" w:rsidRDefault="00AC69D8" w:rsidP="0032536A">
      <w:pPr>
        <w:widowControl w:val="0"/>
        <w:shd w:val="clear" w:color="auto" w:fill="FFFFFF"/>
        <w:spacing w:after="0" w:line="240" w:lineRule="auto"/>
        <w:rPr>
          <w:bCs/>
          <w:szCs w:val="24"/>
          <w:lang w:eastAsia="bg-BG"/>
        </w:rPr>
      </w:pPr>
      <w:r w:rsidRPr="00251117">
        <w:rPr>
          <w:bCs/>
          <w:szCs w:val="24"/>
          <w:lang w:eastAsia="bg-BG"/>
        </w:rPr>
        <w:t xml:space="preserve">Настоящото Допълнително споразумение № 1 влиза в сила от датата на </w:t>
      </w:r>
      <w:r w:rsidRPr="00251117">
        <w:rPr>
          <w:bCs/>
          <w:szCs w:val="24"/>
          <w:lang w:eastAsia="bg-BG"/>
        </w:rPr>
        <w:lastRenderedPageBreak/>
        <w:t xml:space="preserve">подписването му от двете страни. </w:t>
      </w:r>
    </w:p>
    <w:p w:rsidR="00AC69D8" w:rsidRPr="00251117" w:rsidRDefault="00AC69D8" w:rsidP="0032536A">
      <w:pPr>
        <w:widowControl w:val="0"/>
        <w:shd w:val="clear" w:color="auto" w:fill="FFFFFF"/>
        <w:spacing w:after="0" w:line="240" w:lineRule="auto"/>
        <w:ind w:firstLine="0"/>
        <w:rPr>
          <w:bCs/>
          <w:szCs w:val="24"/>
          <w:lang w:eastAsia="bg-BG"/>
        </w:rPr>
      </w:pPr>
    </w:p>
    <w:p w:rsidR="00AC69D8" w:rsidRDefault="00AC69D8" w:rsidP="0032536A">
      <w:pPr>
        <w:widowControl w:val="0"/>
        <w:tabs>
          <w:tab w:val="left" w:pos="6885"/>
        </w:tabs>
        <w:spacing w:after="120"/>
        <w:rPr>
          <w:b/>
          <w:bCs/>
          <w:szCs w:val="24"/>
        </w:rPr>
      </w:pPr>
    </w:p>
    <w:p w:rsidR="00AC69D8" w:rsidRPr="00251117" w:rsidRDefault="00685994" w:rsidP="0032536A">
      <w:pPr>
        <w:widowControl w:val="0"/>
        <w:tabs>
          <w:tab w:val="left" w:pos="6885"/>
        </w:tabs>
        <w:spacing w:after="120"/>
        <w:rPr>
          <w:szCs w:val="24"/>
        </w:rPr>
      </w:pPr>
      <w:r>
        <w:rPr>
          <w:b/>
          <w:bCs/>
          <w:szCs w:val="24"/>
        </w:rPr>
        <w:t>§</w:t>
      </w:r>
      <w:r w:rsidRPr="00251117">
        <w:rPr>
          <w:b/>
          <w:szCs w:val="24"/>
        </w:rPr>
        <w:t xml:space="preserve"> </w:t>
      </w:r>
      <w:r w:rsidR="00AC69D8" w:rsidRPr="00251117">
        <w:rPr>
          <w:b/>
          <w:szCs w:val="24"/>
        </w:rPr>
        <w:t>11.</w:t>
      </w:r>
      <w:r w:rsidR="00AC69D8" w:rsidRPr="00251117">
        <w:rPr>
          <w:szCs w:val="24"/>
        </w:rPr>
        <w:t xml:space="preserve"> </w:t>
      </w:r>
      <w:r w:rsidR="00AC69D8" w:rsidRPr="00251117">
        <w:rPr>
          <w:b/>
          <w:szCs w:val="24"/>
        </w:rPr>
        <w:t>Действие</w:t>
      </w:r>
    </w:p>
    <w:p w:rsidR="00AC69D8" w:rsidRPr="00251117" w:rsidRDefault="00AC69D8" w:rsidP="0032536A">
      <w:pPr>
        <w:widowControl w:val="0"/>
        <w:tabs>
          <w:tab w:val="left" w:pos="6885"/>
        </w:tabs>
        <w:spacing w:after="120"/>
        <w:rPr>
          <w:szCs w:val="24"/>
        </w:rPr>
      </w:pPr>
      <w:r w:rsidRPr="00251117">
        <w:rPr>
          <w:b/>
          <w:szCs w:val="24"/>
        </w:rPr>
        <w:t>11.1.</w:t>
      </w:r>
      <w:r w:rsidRPr="00251117">
        <w:rPr>
          <w:szCs w:val="24"/>
        </w:rPr>
        <w:t xml:space="preserve"> Настоящето Допълнително споразумение № 1 заедно с приложенията към него става неразделна част от Договора, като замества променените разпоредби и заменените приложения.</w:t>
      </w:r>
    </w:p>
    <w:p w:rsidR="00AC69D8" w:rsidRPr="00251117" w:rsidRDefault="00AC69D8" w:rsidP="0032536A">
      <w:pPr>
        <w:widowControl w:val="0"/>
        <w:tabs>
          <w:tab w:val="left" w:pos="6885"/>
        </w:tabs>
        <w:spacing w:after="120"/>
        <w:rPr>
          <w:szCs w:val="24"/>
        </w:rPr>
      </w:pPr>
      <w:r w:rsidRPr="00251117">
        <w:rPr>
          <w:b/>
          <w:szCs w:val="24"/>
        </w:rPr>
        <w:t>11.2.</w:t>
      </w:r>
      <w:r w:rsidRPr="00251117">
        <w:rPr>
          <w:szCs w:val="24"/>
        </w:rPr>
        <w:t xml:space="preserve"> Всички останали клаузи на Договора и приложения към него остават непроменени.</w:t>
      </w:r>
      <w:r w:rsidRPr="00251117">
        <w:rPr>
          <w:szCs w:val="24"/>
        </w:rPr>
        <w:tab/>
      </w:r>
    </w:p>
    <w:p w:rsidR="00AC69D8" w:rsidRDefault="00AC69D8" w:rsidP="0032536A">
      <w:pPr>
        <w:widowControl w:val="0"/>
        <w:shd w:val="clear" w:color="auto" w:fill="FFFFFF"/>
        <w:spacing w:after="120" w:line="240" w:lineRule="auto"/>
        <w:rPr>
          <w:b/>
          <w:bCs/>
          <w:szCs w:val="24"/>
          <w:lang w:eastAsia="bg-BG"/>
        </w:rPr>
      </w:pPr>
    </w:p>
    <w:p w:rsidR="00AC69D8" w:rsidRPr="00251117" w:rsidRDefault="0030445A" w:rsidP="0032536A">
      <w:pPr>
        <w:widowControl w:val="0"/>
        <w:shd w:val="clear" w:color="auto" w:fill="FFFFFF"/>
        <w:spacing w:after="120" w:line="240" w:lineRule="auto"/>
        <w:rPr>
          <w:bCs/>
          <w:szCs w:val="24"/>
          <w:lang w:eastAsia="bg-BG"/>
        </w:rPr>
      </w:pPr>
      <w:r>
        <w:rPr>
          <w:b/>
          <w:bCs/>
          <w:szCs w:val="24"/>
          <w:lang w:eastAsia="bg-BG"/>
        </w:rPr>
        <w:t>§</w:t>
      </w:r>
      <w:r w:rsidRPr="00251117">
        <w:rPr>
          <w:b/>
          <w:bCs/>
          <w:szCs w:val="24"/>
          <w:lang w:eastAsia="bg-BG"/>
        </w:rPr>
        <w:t xml:space="preserve"> </w:t>
      </w:r>
      <w:r w:rsidR="00AC69D8" w:rsidRPr="00251117">
        <w:rPr>
          <w:b/>
          <w:bCs/>
          <w:szCs w:val="24"/>
          <w:lang w:eastAsia="bg-BG"/>
        </w:rPr>
        <w:t>12. Приложения</w:t>
      </w:r>
    </w:p>
    <w:p w:rsidR="00AC69D8" w:rsidRPr="00251117" w:rsidRDefault="00AC69D8" w:rsidP="0032536A">
      <w:pPr>
        <w:widowControl w:val="0"/>
        <w:shd w:val="clear" w:color="auto" w:fill="FFFFFF"/>
        <w:spacing w:before="120" w:after="0" w:line="240" w:lineRule="auto"/>
        <w:rPr>
          <w:bCs/>
          <w:szCs w:val="24"/>
          <w:lang w:eastAsia="bg-BG"/>
        </w:rPr>
      </w:pPr>
      <w:r w:rsidRPr="00251117">
        <w:rPr>
          <w:bCs/>
          <w:szCs w:val="24"/>
          <w:lang w:eastAsia="bg-BG"/>
        </w:rPr>
        <w:t>Приложенията към настоящото Допълнително споразумение № 1 са неразделна част от него, както следва:</w:t>
      </w:r>
    </w:p>
    <w:p w:rsidR="00AC69D8" w:rsidRPr="00251117" w:rsidRDefault="00AC69D8" w:rsidP="0032536A">
      <w:pPr>
        <w:widowControl w:val="0"/>
        <w:numPr>
          <w:ilvl w:val="0"/>
          <w:numId w:val="9"/>
        </w:numPr>
        <w:shd w:val="clear" w:color="auto" w:fill="FFFFFF"/>
        <w:tabs>
          <w:tab w:val="left" w:pos="993"/>
        </w:tabs>
        <w:spacing w:before="120" w:after="0" w:line="240" w:lineRule="auto"/>
        <w:ind w:left="0" w:firstLine="709"/>
        <w:rPr>
          <w:bCs/>
          <w:szCs w:val="24"/>
          <w:lang w:eastAsia="bg-BG"/>
        </w:rPr>
      </w:pPr>
      <w:r w:rsidRPr="00251117">
        <w:rPr>
          <w:bCs/>
          <w:szCs w:val="24"/>
          <w:lang w:eastAsia="bg-BG"/>
        </w:rPr>
        <w:t>Приложение № 1 – Приложение II „Договорни показатели за качество“ към Договора;</w:t>
      </w:r>
    </w:p>
    <w:p w:rsidR="00AC69D8" w:rsidRPr="00251117" w:rsidRDefault="00AC69D8" w:rsidP="0032536A">
      <w:pPr>
        <w:widowControl w:val="0"/>
        <w:numPr>
          <w:ilvl w:val="0"/>
          <w:numId w:val="9"/>
        </w:numPr>
        <w:shd w:val="clear" w:color="auto" w:fill="FFFFFF"/>
        <w:tabs>
          <w:tab w:val="left" w:pos="993"/>
        </w:tabs>
        <w:spacing w:before="120" w:after="0" w:line="240" w:lineRule="auto"/>
        <w:ind w:left="0" w:firstLine="709"/>
        <w:rPr>
          <w:bCs/>
          <w:szCs w:val="24"/>
          <w:lang w:eastAsia="bg-BG"/>
        </w:rPr>
      </w:pPr>
      <w:r w:rsidRPr="00251117">
        <w:rPr>
          <w:bCs/>
          <w:szCs w:val="24"/>
          <w:lang w:eastAsia="bg-BG"/>
        </w:rPr>
        <w:t>Приложение № 2 – Приложение IX „Дейности, включени в задължителното ниво на инвестициите“ към Договора.</w:t>
      </w:r>
    </w:p>
    <w:p w:rsidR="00AC69D8" w:rsidRPr="00251117" w:rsidRDefault="00AC69D8" w:rsidP="0032536A">
      <w:pPr>
        <w:widowControl w:val="0"/>
        <w:shd w:val="clear" w:color="auto" w:fill="FFFFFF"/>
        <w:spacing w:after="0" w:line="240" w:lineRule="auto"/>
        <w:ind w:left="360" w:right="520" w:firstLine="0"/>
        <w:rPr>
          <w:bCs/>
          <w:szCs w:val="24"/>
          <w:lang w:eastAsia="bg-BG"/>
        </w:rPr>
      </w:pPr>
    </w:p>
    <w:p w:rsidR="00AC69D8" w:rsidRPr="00251117" w:rsidRDefault="00AC69D8" w:rsidP="0032536A">
      <w:pPr>
        <w:widowControl w:val="0"/>
        <w:shd w:val="clear" w:color="auto" w:fill="FFFFFF"/>
        <w:spacing w:after="0" w:line="240" w:lineRule="auto"/>
        <w:ind w:left="360" w:right="520" w:firstLine="0"/>
        <w:rPr>
          <w:bCs/>
          <w:szCs w:val="24"/>
          <w:lang w:eastAsia="bg-BG"/>
        </w:rPr>
      </w:pPr>
    </w:p>
    <w:p w:rsidR="00AC69D8" w:rsidRPr="00251117" w:rsidRDefault="00AC69D8" w:rsidP="008142DC">
      <w:pPr>
        <w:widowControl w:val="0"/>
        <w:shd w:val="clear" w:color="auto" w:fill="FFFFFF"/>
        <w:spacing w:after="0" w:line="240" w:lineRule="auto"/>
        <w:ind w:right="26" w:firstLine="709"/>
        <w:rPr>
          <w:szCs w:val="24"/>
          <w:lang w:eastAsia="bg-BG"/>
        </w:rPr>
      </w:pPr>
      <w:r w:rsidRPr="00251117">
        <w:rPr>
          <w:bCs/>
          <w:szCs w:val="24"/>
          <w:lang w:eastAsia="bg-BG"/>
        </w:rPr>
        <w:t>Настоящото Допълнително споразумение № 1</w:t>
      </w:r>
      <w:r w:rsidRPr="00251117">
        <w:rPr>
          <w:szCs w:val="24"/>
          <w:lang w:eastAsia="bg-BG"/>
        </w:rPr>
        <w:t xml:space="preserve"> се състави в три екземпляра</w:t>
      </w:r>
      <w:r w:rsidRPr="00251117">
        <w:rPr>
          <w:szCs w:val="24"/>
          <w:lang w:val="ru-RU" w:eastAsia="bg-BG"/>
        </w:rPr>
        <w:t xml:space="preserve"> – </w:t>
      </w:r>
      <w:r w:rsidRPr="00251117">
        <w:rPr>
          <w:szCs w:val="24"/>
          <w:lang w:eastAsia="bg-BG"/>
        </w:rPr>
        <w:t>по един за всяка от Страните и един за МРРБ.</w:t>
      </w:r>
    </w:p>
    <w:p w:rsidR="00AC69D8" w:rsidRPr="008230B7" w:rsidRDefault="00AC69D8" w:rsidP="00F962DB">
      <w:pPr>
        <w:pStyle w:val="40"/>
        <w:spacing w:before="0" w:line="240" w:lineRule="auto"/>
        <w:ind w:right="520" w:firstLine="709"/>
        <w:jc w:val="both"/>
        <w:rPr>
          <w:sz w:val="24"/>
          <w:szCs w:val="24"/>
        </w:rPr>
      </w:pPr>
    </w:p>
    <w:tbl>
      <w:tblPr>
        <w:tblW w:w="9000" w:type="dxa"/>
        <w:tblInd w:w="108" w:type="dxa"/>
        <w:tblLayout w:type="fixed"/>
        <w:tblLook w:val="0000" w:firstRow="0" w:lastRow="0" w:firstColumn="0" w:lastColumn="0" w:noHBand="0" w:noVBand="0"/>
      </w:tblPr>
      <w:tblGrid>
        <w:gridCol w:w="4662"/>
        <w:gridCol w:w="4338"/>
      </w:tblGrid>
      <w:tr w:rsidR="00AC69D8" w:rsidRPr="00AE1A70" w:rsidTr="008142DC">
        <w:trPr>
          <w:trHeight w:val="312"/>
        </w:trPr>
        <w:tc>
          <w:tcPr>
            <w:tcW w:w="4662" w:type="dxa"/>
          </w:tcPr>
          <w:p w:rsidR="00AC69D8" w:rsidRPr="00320920" w:rsidRDefault="00AC69D8" w:rsidP="00BE1D0E">
            <w:pPr>
              <w:widowControl w:val="0"/>
              <w:tabs>
                <w:tab w:val="left" w:pos="4253"/>
              </w:tabs>
              <w:spacing w:after="0" w:line="240" w:lineRule="auto"/>
              <w:rPr>
                <w:rStyle w:val="DeltaViewInsertion"/>
                <w:rFonts w:eastAsia="SimSun"/>
                <w:bCs/>
                <w:w w:val="0"/>
                <w:szCs w:val="24"/>
                <w:u w:val="none"/>
              </w:rPr>
            </w:pPr>
            <w:bookmarkStart w:id="3" w:name="_DV_C510"/>
          </w:p>
          <w:p w:rsidR="00AC69D8" w:rsidRPr="00320920" w:rsidRDefault="00AC69D8" w:rsidP="00BE1D0E">
            <w:pPr>
              <w:widowControl w:val="0"/>
              <w:tabs>
                <w:tab w:val="left" w:pos="4253"/>
              </w:tabs>
              <w:spacing w:after="0" w:line="240" w:lineRule="auto"/>
              <w:ind w:firstLine="0"/>
              <w:rPr>
                <w:rStyle w:val="DeltaViewInsertion"/>
                <w:rFonts w:eastAsia="SimSun"/>
                <w:bCs/>
                <w:w w:val="0"/>
                <w:szCs w:val="24"/>
                <w:u w:val="none"/>
              </w:rPr>
            </w:pPr>
            <w:r w:rsidRPr="00320920">
              <w:rPr>
                <w:rStyle w:val="DeltaViewInsertion"/>
                <w:rFonts w:eastAsia="SimSun"/>
                <w:bCs/>
                <w:w w:val="0"/>
                <w:szCs w:val="24"/>
                <w:u w:val="none"/>
              </w:rPr>
              <w:t>…………………………………</w:t>
            </w:r>
            <w:bookmarkEnd w:id="3"/>
          </w:p>
          <w:p w:rsidR="00AC69D8" w:rsidRPr="00657C7B" w:rsidRDefault="00AC69D8" w:rsidP="00BE1D0E">
            <w:pPr>
              <w:pStyle w:val="20"/>
              <w:shd w:val="clear" w:color="auto" w:fill="auto"/>
              <w:spacing w:before="0" w:after="0" w:line="240" w:lineRule="auto"/>
              <w:ind w:left="20" w:right="20"/>
              <w:jc w:val="both"/>
              <w:rPr>
                <w:bCs/>
                <w:sz w:val="24"/>
                <w:szCs w:val="24"/>
                <w:lang w:eastAsia="en-US"/>
              </w:rPr>
            </w:pPr>
            <w:r w:rsidRPr="00657C7B">
              <w:rPr>
                <w:bCs/>
                <w:sz w:val="24"/>
                <w:szCs w:val="24"/>
                <w:lang w:eastAsia="en-US"/>
              </w:rPr>
              <w:t>ИРЕНА СОКОЛОВА</w:t>
            </w:r>
          </w:p>
        </w:tc>
        <w:tc>
          <w:tcPr>
            <w:tcW w:w="4338" w:type="dxa"/>
          </w:tcPr>
          <w:p w:rsidR="00AC69D8" w:rsidRPr="00320920" w:rsidRDefault="00AC69D8" w:rsidP="00BE1D0E">
            <w:pPr>
              <w:widowControl w:val="0"/>
              <w:tabs>
                <w:tab w:val="left" w:pos="4253"/>
              </w:tabs>
              <w:spacing w:after="0" w:line="240" w:lineRule="auto"/>
              <w:rPr>
                <w:rStyle w:val="DeltaViewInsertion"/>
                <w:rFonts w:eastAsia="SimSun"/>
                <w:bCs/>
                <w:w w:val="0"/>
                <w:szCs w:val="24"/>
                <w:u w:val="none"/>
              </w:rPr>
            </w:pPr>
          </w:p>
          <w:p w:rsidR="00AC69D8" w:rsidRPr="00293A1E" w:rsidRDefault="00AC69D8" w:rsidP="008142DC">
            <w:pPr>
              <w:widowControl w:val="0"/>
              <w:tabs>
                <w:tab w:val="left" w:pos="4253"/>
              </w:tabs>
              <w:spacing w:after="0" w:line="240" w:lineRule="auto"/>
              <w:ind w:firstLine="0"/>
              <w:rPr>
                <w:rStyle w:val="DeltaViewInsertion"/>
                <w:rFonts w:eastAsia="SimSun"/>
                <w:bCs/>
                <w:w w:val="0"/>
                <w:szCs w:val="24"/>
                <w:u w:val="none"/>
              </w:rPr>
            </w:pPr>
            <w:r w:rsidRPr="00293A1E">
              <w:rPr>
                <w:rStyle w:val="DeltaViewInsertion"/>
                <w:rFonts w:eastAsia="SimSun"/>
                <w:bCs/>
                <w:w w:val="0"/>
                <w:szCs w:val="24"/>
                <w:u w:val="none"/>
              </w:rPr>
              <w:t>…………………………………</w:t>
            </w:r>
          </w:p>
          <w:p w:rsidR="00AC69D8" w:rsidRPr="00293A1E" w:rsidRDefault="00AC69D8" w:rsidP="008142DC">
            <w:pPr>
              <w:widowControl w:val="0"/>
              <w:tabs>
                <w:tab w:val="left" w:pos="4253"/>
              </w:tabs>
              <w:spacing w:after="0" w:line="240" w:lineRule="auto"/>
              <w:ind w:firstLine="0"/>
              <w:rPr>
                <w:rFonts w:eastAsia="SimSun"/>
                <w:color w:val="000000"/>
                <w:w w:val="0"/>
                <w:szCs w:val="24"/>
              </w:rPr>
            </w:pPr>
            <w:r>
              <w:rPr>
                <w:rStyle w:val="DeltaViewInsertion"/>
                <w:rFonts w:eastAsia="SimSun"/>
                <w:bCs/>
                <w:w w:val="0"/>
                <w:szCs w:val="24"/>
                <w:u w:val="none"/>
              </w:rPr>
              <w:t>ИВАН ВИТАНОВ</w:t>
            </w:r>
          </w:p>
        </w:tc>
      </w:tr>
      <w:tr w:rsidR="00AC69D8" w:rsidRPr="00AE1A70" w:rsidTr="008142DC">
        <w:trPr>
          <w:trHeight w:val="312"/>
        </w:trPr>
        <w:tc>
          <w:tcPr>
            <w:tcW w:w="4662" w:type="dxa"/>
          </w:tcPr>
          <w:p w:rsidR="00AC69D8" w:rsidRPr="007F698B" w:rsidRDefault="00AC69D8" w:rsidP="00BE1D0E">
            <w:pPr>
              <w:pStyle w:val="BodyText"/>
              <w:widowControl w:val="0"/>
              <w:suppressAutoHyphens w:val="0"/>
              <w:spacing w:after="0"/>
              <w:rPr>
                <w:b/>
                <w:lang w:val="bg-BG"/>
              </w:rPr>
            </w:pPr>
            <w:bookmarkStart w:id="4" w:name="_DV_C512"/>
          </w:p>
          <w:p w:rsidR="00AC69D8" w:rsidRPr="008E60D3" w:rsidRDefault="00AC69D8" w:rsidP="00936A95">
            <w:pPr>
              <w:pStyle w:val="BodyText"/>
              <w:widowControl w:val="0"/>
              <w:suppressAutoHyphens w:val="0"/>
              <w:spacing w:after="0"/>
              <w:rPr>
                <w:rFonts w:eastAsia="SimSun"/>
                <w:color w:val="000000"/>
                <w:w w:val="0"/>
                <w:lang w:val="bg-BG"/>
              </w:rPr>
            </w:pPr>
            <w:r w:rsidRPr="007F698B">
              <w:rPr>
                <w:b/>
                <w:lang w:val="bg-BG"/>
              </w:rPr>
              <w:t xml:space="preserve">Асоциация </w:t>
            </w:r>
            <w:r w:rsidRPr="007F698B">
              <w:rPr>
                <w:b/>
                <w:lang w:val="ru-RU"/>
              </w:rPr>
              <w:t>по ВиК на обособената територия, обслужвана от „</w:t>
            </w:r>
            <w:r w:rsidRPr="007F698B">
              <w:rPr>
                <w:b/>
                <w:lang w:val="bg-BG"/>
              </w:rPr>
              <w:t>Водоснабдяване и канализация</w:t>
            </w:r>
            <w:r w:rsidRPr="007F698B">
              <w:rPr>
                <w:b/>
                <w:lang w:val="ru-RU"/>
              </w:rPr>
              <w:t xml:space="preserve">“ ООД, гр. </w:t>
            </w:r>
            <w:bookmarkEnd w:id="4"/>
            <w:r w:rsidRPr="007F698B">
              <w:rPr>
                <w:b/>
                <w:lang w:val="bg-BG"/>
              </w:rPr>
              <w:t>Перник</w:t>
            </w:r>
          </w:p>
        </w:tc>
        <w:tc>
          <w:tcPr>
            <w:tcW w:w="4338" w:type="dxa"/>
          </w:tcPr>
          <w:p w:rsidR="00AC69D8" w:rsidRPr="007F698B" w:rsidRDefault="00AC69D8" w:rsidP="00BE1D0E">
            <w:pPr>
              <w:pStyle w:val="BodyText"/>
              <w:widowControl w:val="0"/>
              <w:suppressAutoHyphens w:val="0"/>
              <w:spacing w:after="0"/>
              <w:ind w:left="720"/>
              <w:rPr>
                <w:b/>
                <w:lang w:val="bg-BG"/>
              </w:rPr>
            </w:pPr>
          </w:p>
          <w:p w:rsidR="00AC69D8" w:rsidRPr="003D6E4E" w:rsidRDefault="00AC69D8" w:rsidP="008142DC">
            <w:pPr>
              <w:pStyle w:val="BodyText"/>
              <w:widowControl w:val="0"/>
              <w:suppressAutoHyphens w:val="0"/>
              <w:spacing w:after="0"/>
              <w:rPr>
                <w:rFonts w:eastAsia="SimSun"/>
                <w:color w:val="000000"/>
                <w:w w:val="0"/>
                <w:lang w:val="bg-BG"/>
              </w:rPr>
            </w:pPr>
            <w:r w:rsidRPr="007F698B">
              <w:rPr>
                <w:b/>
                <w:lang w:val="bg-BG"/>
              </w:rPr>
              <w:t>„Водоснабдяване и канализация“ ООД, гр. Перник</w:t>
            </w:r>
          </w:p>
        </w:tc>
      </w:tr>
    </w:tbl>
    <w:p w:rsidR="00AC69D8" w:rsidRPr="008230B7" w:rsidRDefault="00AC69D8" w:rsidP="00CD7053">
      <w:pPr>
        <w:pStyle w:val="40"/>
        <w:spacing w:before="0" w:line="240" w:lineRule="auto"/>
        <w:ind w:right="520" w:firstLine="567"/>
        <w:jc w:val="center"/>
        <w:rPr>
          <w:b/>
          <w:sz w:val="24"/>
          <w:szCs w:val="24"/>
          <w:u w:val="single"/>
        </w:rPr>
      </w:pPr>
      <w:r w:rsidRPr="008230B7">
        <w:rPr>
          <w:b/>
          <w:szCs w:val="24"/>
        </w:rPr>
        <w:br w:type="page"/>
      </w:r>
      <w:r w:rsidRPr="008230B7">
        <w:rPr>
          <w:b/>
          <w:sz w:val="24"/>
          <w:szCs w:val="24"/>
          <w:u w:val="single"/>
        </w:rPr>
        <w:lastRenderedPageBreak/>
        <w:t xml:space="preserve">Приложение № </w:t>
      </w:r>
      <w:r>
        <w:rPr>
          <w:b/>
          <w:sz w:val="24"/>
          <w:szCs w:val="24"/>
          <w:u w:val="single"/>
        </w:rPr>
        <w:t>1</w:t>
      </w:r>
      <w:r w:rsidRPr="008230B7">
        <w:rPr>
          <w:b/>
          <w:sz w:val="24"/>
          <w:szCs w:val="24"/>
          <w:u w:val="single"/>
        </w:rPr>
        <w:t xml:space="preserve"> към </w:t>
      </w:r>
      <w:r>
        <w:rPr>
          <w:b/>
          <w:sz w:val="24"/>
          <w:szCs w:val="24"/>
          <w:u w:val="single"/>
        </w:rPr>
        <w:t>Допълнително споразумение № 1</w:t>
      </w:r>
    </w:p>
    <w:p w:rsidR="00AC69D8" w:rsidRPr="008230B7" w:rsidRDefault="00AC69D8" w:rsidP="00CA52F9">
      <w:pPr>
        <w:spacing w:after="0" w:line="240" w:lineRule="auto"/>
        <w:ind w:firstLine="0"/>
        <w:jc w:val="center"/>
        <w:rPr>
          <w:b/>
          <w:caps/>
          <w:szCs w:val="24"/>
        </w:rPr>
      </w:pPr>
    </w:p>
    <w:p w:rsidR="00AC69D8" w:rsidRPr="008230B7" w:rsidRDefault="00AC69D8" w:rsidP="00CA52F9">
      <w:pPr>
        <w:spacing w:after="0" w:line="240" w:lineRule="auto"/>
        <w:ind w:firstLine="0"/>
        <w:jc w:val="center"/>
        <w:rPr>
          <w:b/>
          <w:caps/>
          <w:szCs w:val="24"/>
        </w:rPr>
      </w:pPr>
      <w:r w:rsidRPr="008230B7">
        <w:rPr>
          <w:b/>
          <w:caps/>
          <w:szCs w:val="24"/>
        </w:rPr>
        <w:t xml:space="preserve">Приложение </w:t>
      </w:r>
      <w:r w:rsidRPr="008230B7">
        <w:rPr>
          <w:b/>
          <w:caps/>
          <w:szCs w:val="24"/>
          <w:lang w:val="en-US"/>
        </w:rPr>
        <w:t>II</w:t>
      </w:r>
      <w:r w:rsidRPr="00137C9D">
        <w:rPr>
          <w:b/>
          <w:szCs w:val="24"/>
        </w:rPr>
        <w:t xml:space="preserve"> </w:t>
      </w:r>
      <w:r w:rsidRPr="00137C9D">
        <w:rPr>
          <w:b/>
          <w:caps/>
          <w:szCs w:val="24"/>
        </w:rPr>
        <w:t xml:space="preserve">КЪМ ДОГОВОР </w:t>
      </w:r>
      <w:r w:rsidRPr="00BD2337">
        <w:rPr>
          <w:b/>
          <w:caps/>
          <w:szCs w:val="24"/>
        </w:rPr>
        <w:t>ОТ 11.03.2016 г.</w:t>
      </w:r>
    </w:p>
    <w:p w:rsidR="00AC69D8" w:rsidRPr="008230B7" w:rsidRDefault="00AC69D8" w:rsidP="00CA52F9">
      <w:pPr>
        <w:spacing w:after="0" w:line="240" w:lineRule="auto"/>
        <w:ind w:firstLine="0"/>
        <w:jc w:val="center"/>
        <w:rPr>
          <w:b/>
          <w:caps/>
          <w:szCs w:val="24"/>
        </w:rPr>
      </w:pPr>
      <w:r w:rsidRPr="008230B7">
        <w:rPr>
          <w:b/>
          <w:caps/>
          <w:szCs w:val="24"/>
        </w:rPr>
        <w:t>договорни показатели за качество</w:t>
      </w:r>
    </w:p>
    <w:p w:rsidR="00AC69D8" w:rsidRPr="008230B7" w:rsidRDefault="00AC69D8" w:rsidP="00BE1D0E">
      <w:pPr>
        <w:spacing w:after="0" w:line="240" w:lineRule="auto"/>
        <w:ind w:firstLine="0"/>
        <w:rPr>
          <w:szCs w:val="24"/>
        </w:rPr>
      </w:pPr>
    </w:p>
    <w:p w:rsidR="00AC69D8" w:rsidRPr="008230B7" w:rsidRDefault="00AC69D8" w:rsidP="00BE1D0E">
      <w:pPr>
        <w:spacing w:after="0" w:line="240" w:lineRule="auto"/>
        <w:rPr>
          <w:b/>
          <w:szCs w:val="24"/>
          <w:u w:val="single"/>
        </w:rPr>
      </w:pPr>
    </w:p>
    <w:p w:rsidR="00AC69D8" w:rsidRPr="00BD2337" w:rsidRDefault="00AC69D8" w:rsidP="00BD2337">
      <w:pPr>
        <w:keepNext/>
        <w:keepLines/>
        <w:numPr>
          <w:ilvl w:val="0"/>
          <w:numId w:val="12"/>
        </w:numPr>
        <w:suppressAutoHyphens/>
        <w:spacing w:before="60" w:after="60" w:line="240" w:lineRule="auto"/>
        <w:ind w:left="0" w:right="-1" w:firstLine="0"/>
        <w:jc w:val="left"/>
        <w:rPr>
          <w:b/>
          <w:szCs w:val="24"/>
          <w:u w:val="single"/>
        </w:rPr>
      </w:pPr>
      <w:r w:rsidRPr="00BD2337">
        <w:rPr>
          <w:b/>
          <w:szCs w:val="24"/>
          <w:u w:val="single"/>
        </w:rPr>
        <w:t>Неотчетени водни количества (%)</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46"/>
        <w:gridCol w:w="2204"/>
        <w:gridCol w:w="1223"/>
        <w:gridCol w:w="1369"/>
        <w:gridCol w:w="1375"/>
      </w:tblGrid>
      <w:tr w:rsidR="00AC69D8" w:rsidRPr="00BD2337" w:rsidTr="00CD7053">
        <w:trPr>
          <w:trHeight w:val="189"/>
          <w:jc w:val="center"/>
        </w:trPr>
        <w:tc>
          <w:tcPr>
            <w:tcW w:w="3646" w:type="dxa"/>
            <w:vMerge w:val="restart"/>
            <w:shd w:val="clear" w:color="000000" w:fill="FFFFFF"/>
            <w:vAlign w:val="center"/>
          </w:tcPr>
          <w:p w:rsidR="00AC69D8" w:rsidRPr="00BD2337" w:rsidRDefault="00AC69D8" w:rsidP="00BD2337">
            <w:pPr>
              <w:suppressAutoHyphens/>
              <w:spacing w:before="60" w:after="60" w:line="240" w:lineRule="auto"/>
              <w:ind w:right="-1" w:firstLine="0"/>
              <w:rPr>
                <w:b/>
                <w:bCs/>
                <w:sz w:val="20"/>
                <w:szCs w:val="20"/>
                <w:lang w:eastAsia="bg-BG"/>
              </w:rPr>
            </w:pPr>
            <w:r w:rsidRPr="00BD2337">
              <w:rPr>
                <w:b/>
                <w:bCs/>
                <w:sz w:val="20"/>
                <w:szCs w:val="20"/>
                <w:lang w:eastAsia="bg-BG"/>
              </w:rPr>
              <w:t>Показател</w:t>
            </w:r>
          </w:p>
        </w:tc>
        <w:tc>
          <w:tcPr>
            <w:tcW w:w="2204" w:type="dxa"/>
            <w:vMerge w:val="restart"/>
            <w:shd w:val="clear" w:color="000000"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Базова стойност (БС)</w:t>
            </w:r>
          </w:p>
        </w:tc>
        <w:tc>
          <w:tcPr>
            <w:tcW w:w="3967" w:type="dxa"/>
            <w:gridSpan w:val="3"/>
            <w:shd w:val="clear" w:color="000000"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Целеви нива по години от договора</w:t>
            </w:r>
          </w:p>
        </w:tc>
      </w:tr>
      <w:tr w:rsidR="00AC69D8" w:rsidRPr="00BD2337" w:rsidTr="00CD7053">
        <w:trPr>
          <w:trHeight w:val="70"/>
          <w:jc w:val="center"/>
        </w:trPr>
        <w:tc>
          <w:tcPr>
            <w:tcW w:w="3646" w:type="dxa"/>
            <w:vMerge/>
            <w:vAlign w:val="center"/>
          </w:tcPr>
          <w:p w:rsidR="00AC69D8" w:rsidRPr="00BD2337" w:rsidRDefault="00AC69D8" w:rsidP="00BD2337">
            <w:pPr>
              <w:suppressAutoHyphens/>
              <w:spacing w:before="60" w:after="60" w:line="240" w:lineRule="auto"/>
              <w:ind w:right="-1" w:firstLine="0"/>
              <w:rPr>
                <w:b/>
                <w:bCs/>
                <w:sz w:val="20"/>
                <w:szCs w:val="20"/>
                <w:lang w:eastAsia="bg-BG"/>
              </w:rPr>
            </w:pPr>
          </w:p>
        </w:tc>
        <w:tc>
          <w:tcPr>
            <w:tcW w:w="2204" w:type="dxa"/>
            <w:vMerge/>
            <w:vAlign w:val="center"/>
          </w:tcPr>
          <w:p w:rsidR="00AC69D8" w:rsidRPr="00BD2337" w:rsidRDefault="00AC69D8" w:rsidP="00BD2337">
            <w:pPr>
              <w:suppressAutoHyphens/>
              <w:spacing w:before="60" w:after="60" w:line="240" w:lineRule="auto"/>
              <w:ind w:right="-1" w:firstLine="0"/>
              <w:rPr>
                <w:b/>
                <w:bCs/>
                <w:sz w:val="20"/>
                <w:szCs w:val="20"/>
                <w:lang w:eastAsia="bg-BG"/>
              </w:rPr>
            </w:pPr>
          </w:p>
        </w:tc>
        <w:tc>
          <w:tcPr>
            <w:tcW w:w="1223" w:type="dxa"/>
            <w:shd w:val="clear" w:color="000000" w:fill="FFFFFF"/>
            <w:noWrap/>
            <w:vAlign w:val="center"/>
          </w:tcPr>
          <w:p w:rsidR="00AC69D8" w:rsidRPr="00BD2337" w:rsidRDefault="00AC69D8" w:rsidP="00BD2337">
            <w:pPr>
              <w:suppressAutoHyphens/>
              <w:spacing w:before="60" w:after="60" w:line="240" w:lineRule="auto"/>
              <w:ind w:right="-1" w:firstLine="0"/>
              <w:jc w:val="right"/>
              <w:rPr>
                <w:b/>
                <w:bCs/>
                <w:sz w:val="20"/>
                <w:szCs w:val="20"/>
                <w:lang w:eastAsia="bg-BG"/>
              </w:rPr>
            </w:pPr>
            <w:r w:rsidRPr="00BD2337">
              <w:rPr>
                <w:b/>
                <w:bCs/>
                <w:sz w:val="20"/>
                <w:szCs w:val="20"/>
                <w:lang w:eastAsia="bg-BG"/>
              </w:rPr>
              <w:t>Година 5</w:t>
            </w:r>
          </w:p>
        </w:tc>
        <w:tc>
          <w:tcPr>
            <w:tcW w:w="1369" w:type="dxa"/>
            <w:shd w:val="clear" w:color="000000" w:fill="FFFFFF"/>
            <w:noWrap/>
            <w:vAlign w:val="center"/>
          </w:tcPr>
          <w:p w:rsidR="00AC69D8" w:rsidRPr="00BD2337" w:rsidRDefault="00AC69D8" w:rsidP="00BD2337">
            <w:pPr>
              <w:suppressAutoHyphens/>
              <w:spacing w:before="60" w:after="60" w:line="240" w:lineRule="auto"/>
              <w:ind w:right="-1" w:firstLine="0"/>
              <w:jc w:val="right"/>
              <w:rPr>
                <w:b/>
                <w:bCs/>
                <w:sz w:val="20"/>
                <w:szCs w:val="20"/>
                <w:lang w:eastAsia="bg-BG"/>
              </w:rPr>
            </w:pPr>
            <w:r w:rsidRPr="00BD2337">
              <w:rPr>
                <w:b/>
                <w:bCs/>
                <w:sz w:val="20"/>
                <w:szCs w:val="20"/>
                <w:lang w:eastAsia="bg-BG"/>
              </w:rPr>
              <w:t>Година 10</w:t>
            </w:r>
          </w:p>
        </w:tc>
        <w:tc>
          <w:tcPr>
            <w:tcW w:w="1373" w:type="dxa"/>
            <w:shd w:val="clear" w:color="000000" w:fill="FFFFFF"/>
            <w:noWrap/>
            <w:vAlign w:val="center"/>
          </w:tcPr>
          <w:p w:rsidR="00AC69D8" w:rsidRPr="00BD2337" w:rsidRDefault="00AC69D8" w:rsidP="00BD2337">
            <w:pPr>
              <w:suppressAutoHyphens/>
              <w:spacing w:before="60" w:after="60" w:line="240" w:lineRule="auto"/>
              <w:ind w:right="-1" w:firstLine="0"/>
              <w:jc w:val="right"/>
              <w:rPr>
                <w:b/>
                <w:bCs/>
                <w:sz w:val="20"/>
                <w:szCs w:val="20"/>
                <w:lang w:eastAsia="bg-BG"/>
              </w:rPr>
            </w:pPr>
            <w:r w:rsidRPr="00BD2337">
              <w:rPr>
                <w:b/>
                <w:bCs/>
                <w:sz w:val="20"/>
                <w:szCs w:val="20"/>
                <w:lang w:eastAsia="bg-BG"/>
              </w:rPr>
              <w:t>Година 15</w:t>
            </w:r>
          </w:p>
        </w:tc>
      </w:tr>
      <w:tr w:rsidR="00AC69D8" w:rsidRPr="002A1C9E" w:rsidTr="00CD7053">
        <w:trPr>
          <w:trHeight w:val="450"/>
          <w:jc w:val="center"/>
        </w:trPr>
        <w:tc>
          <w:tcPr>
            <w:tcW w:w="3646" w:type="dxa"/>
            <w:shd w:val="clear" w:color="000000" w:fill="FFFFFF"/>
            <w:vAlign w:val="center"/>
          </w:tcPr>
          <w:p w:rsidR="00AC69D8" w:rsidRPr="00BD2337" w:rsidRDefault="00AC69D8" w:rsidP="00BD2337">
            <w:pPr>
              <w:suppressAutoHyphens/>
              <w:spacing w:before="60" w:after="60" w:line="240" w:lineRule="auto"/>
              <w:ind w:right="-1" w:firstLine="0"/>
              <w:rPr>
                <w:sz w:val="20"/>
                <w:szCs w:val="20"/>
                <w:lang w:eastAsia="bg-BG"/>
              </w:rPr>
            </w:pPr>
            <w:r w:rsidRPr="00BD2337">
              <w:rPr>
                <w:sz w:val="20"/>
                <w:szCs w:val="20"/>
                <w:lang w:eastAsia="bg-BG"/>
              </w:rPr>
              <w:t>Загуби на вода (неинкасирано количество вода спрямо подаденото на вход на водоснабдителната система)</w:t>
            </w:r>
          </w:p>
        </w:tc>
        <w:tc>
          <w:tcPr>
            <w:tcW w:w="2204" w:type="dxa"/>
            <w:shd w:val="clear" w:color="000000"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69% към 31 декември 2014 г.</w:t>
            </w:r>
          </w:p>
        </w:tc>
        <w:tc>
          <w:tcPr>
            <w:tcW w:w="1223" w:type="dxa"/>
            <w:shd w:val="clear" w:color="000000"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БС-6%</w:t>
            </w:r>
          </w:p>
        </w:tc>
        <w:tc>
          <w:tcPr>
            <w:tcW w:w="1369" w:type="dxa"/>
            <w:shd w:val="clear" w:color="000000"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БС-11%</w:t>
            </w:r>
          </w:p>
        </w:tc>
        <w:tc>
          <w:tcPr>
            <w:tcW w:w="1373" w:type="dxa"/>
            <w:shd w:val="clear" w:color="000000"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50%</w:t>
            </w:r>
          </w:p>
        </w:tc>
      </w:tr>
    </w:tbl>
    <w:p w:rsidR="00AC69D8" w:rsidRPr="00BD2337" w:rsidRDefault="00AC69D8" w:rsidP="00BD2337">
      <w:pPr>
        <w:keepNext/>
        <w:keepLines/>
        <w:spacing w:before="60" w:after="60" w:line="240" w:lineRule="auto"/>
        <w:ind w:right="-1" w:firstLine="0"/>
        <w:rPr>
          <w:sz w:val="20"/>
          <w:szCs w:val="20"/>
        </w:rPr>
      </w:pPr>
    </w:p>
    <w:p w:rsidR="00AC69D8" w:rsidRPr="00BD2337" w:rsidRDefault="00AC69D8" w:rsidP="00BD2337">
      <w:pPr>
        <w:keepNext/>
        <w:keepLines/>
        <w:numPr>
          <w:ilvl w:val="0"/>
          <w:numId w:val="12"/>
        </w:numPr>
        <w:suppressAutoHyphens/>
        <w:spacing w:before="60" w:after="60" w:line="240" w:lineRule="auto"/>
        <w:ind w:left="0" w:right="-1" w:firstLine="0"/>
        <w:jc w:val="left"/>
        <w:rPr>
          <w:b/>
          <w:szCs w:val="24"/>
          <w:u w:val="single"/>
        </w:rPr>
      </w:pPr>
      <w:r w:rsidRPr="00BD2337">
        <w:rPr>
          <w:b/>
          <w:szCs w:val="24"/>
          <w:u w:val="single"/>
        </w:rPr>
        <w:t>Измерване на водните количества на ниво водоизточник</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7"/>
        <w:gridCol w:w="6479"/>
      </w:tblGrid>
      <w:tr w:rsidR="00AC69D8" w:rsidRPr="00BD2337" w:rsidTr="00CD7053">
        <w:trPr>
          <w:trHeight w:val="290"/>
          <w:jc w:val="center"/>
        </w:trPr>
        <w:tc>
          <w:tcPr>
            <w:tcW w:w="3407" w:type="dxa"/>
            <w:vMerge w:val="restart"/>
            <w:shd w:val="clear" w:color="auto" w:fill="FFFFFF"/>
            <w:vAlign w:val="center"/>
          </w:tcPr>
          <w:p w:rsidR="00AC69D8" w:rsidRPr="00BD2337" w:rsidRDefault="00AC69D8" w:rsidP="00BD2337">
            <w:pPr>
              <w:suppressAutoHyphens/>
              <w:spacing w:before="60" w:after="60" w:line="240" w:lineRule="auto"/>
              <w:ind w:right="-1" w:firstLine="0"/>
              <w:rPr>
                <w:b/>
                <w:bCs/>
                <w:sz w:val="20"/>
                <w:szCs w:val="20"/>
                <w:lang w:eastAsia="bg-BG"/>
              </w:rPr>
            </w:pPr>
            <w:r w:rsidRPr="00BD2337">
              <w:rPr>
                <w:b/>
                <w:bCs/>
                <w:sz w:val="20"/>
                <w:szCs w:val="20"/>
                <w:lang w:eastAsia="bg-BG"/>
              </w:rPr>
              <w:t>Показател</w:t>
            </w:r>
          </w:p>
        </w:tc>
        <w:tc>
          <w:tcPr>
            <w:tcW w:w="6479" w:type="dxa"/>
            <w:vMerge w:val="restart"/>
            <w:shd w:val="clear" w:color="auto"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Целево ниво</w:t>
            </w:r>
          </w:p>
        </w:tc>
      </w:tr>
      <w:tr w:rsidR="00AC69D8" w:rsidRPr="00BD2337" w:rsidTr="00CD7053">
        <w:trPr>
          <w:trHeight w:val="350"/>
          <w:jc w:val="center"/>
        </w:trPr>
        <w:tc>
          <w:tcPr>
            <w:tcW w:w="0" w:type="auto"/>
            <w:vMerge/>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p>
        </w:tc>
        <w:tc>
          <w:tcPr>
            <w:tcW w:w="0" w:type="auto"/>
            <w:vMerge/>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p>
        </w:tc>
      </w:tr>
      <w:tr w:rsidR="00AC69D8" w:rsidRPr="002A1C9E" w:rsidTr="00CD7053">
        <w:trPr>
          <w:trHeight w:val="526"/>
          <w:jc w:val="center"/>
        </w:trPr>
        <w:tc>
          <w:tcPr>
            <w:tcW w:w="3407" w:type="dxa"/>
            <w:vAlign w:val="center"/>
          </w:tcPr>
          <w:p w:rsidR="00AC69D8" w:rsidRPr="00BD2337" w:rsidRDefault="00AC69D8" w:rsidP="00BD2337">
            <w:pPr>
              <w:suppressAutoHyphens/>
              <w:spacing w:before="60" w:after="60" w:line="240" w:lineRule="auto"/>
              <w:ind w:right="-1" w:firstLine="0"/>
              <w:rPr>
                <w:sz w:val="20"/>
                <w:szCs w:val="20"/>
                <w:lang w:eastAsia="bg-BG"/>
              </w:rPr>
            </w:pPr>
            <w:r w:rsidRPr="00BD2337">
              <w:rPr>
                <w:sz w:val="20"/>
                <w:szCs w:val="20"/>
                <w:lang w:eastAsia="bg-BG"/>
              </w:rPr>
              <w:t>% измерени точки на водовземане</w:t>
            </w:r>
          </w:p>
        </w:tc>
        <w:tc>
          <w:tcPr>
            <w:tcW w:w="6479" w:type="dxa"/>
            <w:shd w:val="clear" w:color="auto" w:fill="FFFFFF"/>
            <w:vAlign w:val="center"/>
          </w:tcPr>
          <w:p w:rsidR="00AC69D8" w:rsidRPr="00BD2337" w:rsidRDefault="00AC69D8" w:rsidP="00BD2337">
            <w:pPr>
              <w:suppressAutoHyphens/>
              <w:spacing w:before="60" w:after="60" w:line="240" w:lineRule="auto"/>
              <w:ind w:right="-1" w:firstLine="0"/>
              <w:rPr>
                <w:sz w:val="20"/>
                <w:szCs w:val="20"/>
                <w:lang w:eastAsia="bg-BG"/>
              </w:rPr>
            </w:pPr>
            <w:r w:rsidRPr="00BD2337">
              <w:rPr>
                <w:sz w:val="20"/>
                <w:szCs w:val="20"/>
                <w:lang w:eastAsia="bg-BG"/>
              </w:rPr>
              <w:t xml:space="preserve">До края на </w:t>
            </w:r>
            <w:r>
              <w:rPr>
                <w:sz w:val="20"/>
                <w:szCs w:val="20"/>
                <w:lang w:eastAsia="bg-BG"/>
              </w:rPr>
              <w:t>5</w:t>
            </w:r>
            <w:r w:rsidRPr="00BD2337">
              <w:rPr>
                <w:sz w:val="20"/>
                <w:szCs w:val="20"/>
                <w:lang w:eastAsia="bg-BG"/>
              </w:rPr>
              <w:t>-та година от договора да бъдат обхванати 100% от водоизточниците. В рамките на периода на договора измервателните уреди следва да бъдат поддържани в изправност</w:t>
            </w:r>
          </w:p>
        </w:tc>
      </w:tr>
    </w:tbl>
    <w:p w:rsidR="00AC69D8" w:rsidRPr="00BD2337" w:rsidRDefault="00AC69D8" w:rsidP="00BD2337">
      <w:pPr>
        <w:keepNext/>
        <w:keepLines/>
        <w:spacing w:before="60" w:after="60" w:line="240" w:lineRule="auto"/>
        <w:ind w:right="-1" w:firstLine="0"/>
        <w:rPr>
          <w:sz w:val="20"/>
          <w:szCs w:val="20"/>
        </w:rPr>
      </w:pPr>
    </w:p>
    <w:p w:rsidR="00AC69D8" w:rsidRPr="00BD2337" w:rsidRDefault="00AC69D8" w:rsidP="00BD2337">
      <w:pPr>
        <w:keepNext/>
        <w:keepLines/>
        <w:numPr>
          <w:ilvl w:val="0"/>
          <w:numId w:val="12"/>
        </w:numPr>
        <w:suppressAutoHyphens/>
        <w:spacing w:before="60" w:after="60" w:line="240" w:lineRule="auto"/>
        <w:ind w:left="0" w:right="-1" w:firstLine="0"/>
        <w:jc w:val="left"/>
        <w:rPr>
          <w:b/>
          <w:szCs w:val="24"/>
          <w:u w:val="single"/>
        </w:rPr>
      </w:pPr>
      <w:r w:rsidRPr="00BD2337">
        <w:rPr>
          <w:b/>
          <w:szCs w:val="24"/>
          <w:u w:val="single"/>
        </w:rPr>
        <w:t>Ефективност на търговското измерване</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92"/>
        <w:gridCol w:w="191"/>
        <w:gridCol w:w="1467"/>
        <w:gridCol w:w="1467"/>
        <w:gridCol w:w="1471"/>
      </w:tblGrid>
      <w:tr w:rsidR="00AC69D8" w:rsidRPr="00BD2337" w:rsidTr="00CD7053">
        <w:trPr>
          <w:trHeight w:val="70"/>
          <w:jc w:val="center"/>
        </w:trPr>
        <w:tc>
          <w:tcPr>
            <w:tcW w:w="5483" w:type="dxa"/>
            <w:gridSpan w:val="2"/>
            <w:vMerge w:val="restart"/>
            <w:shd w:val="clear" w:color="auto" w:fill="FFFFFF"/>
            <w:vAlign w:val="center"/>
          </w:tcPr>
          <w:p w:rsidR="00AC69D8" w:rsidRPr="00BD2337" w:rsidRDefault="00AC69D8" w:rsidP="00BD2337">
            <w:pPr>
              <w:suppressAutoHyphens/>
              <w:spacing w:before="60" w:after="60" w:line="240" w:lineRule="auto"/>
              <w:ind w:right="-1" w:firstLine="0"/>
              <w:rPr>
                <w:b/>
                <w:bCs/>
                <w:sz w:val="20"/>
                <w:szCs w:val="20"/>
                <w:lang w:eastAsia="bg-BG"/>
              </w:rPr>
            </w:pPr>
            <w:r w:rsidRPr="00BD2337">
              <w:rPr>
                <w:b/>
                <w:bCs/>
                <w:sz w:val="20"/>
                <w:szCs w:val="20"/>
                <w:lang w:eastAsia="bg-BG"/>
              </w:rPr>
              <w:t>Показател</w:t>
            </w:r>
          </w:p>
        </w:tc>
        <w:tc>
          <w:tcPr>
            <w:tcW w:w="4405" w:type="dxa"/>
            <w:gridSpan w:val="3"/>
            <w:shd w:val="clear" w:color="auto"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Целеви нива по години от договора</w:t>
            </w:r>
          </w:p>
        </w:tc>
      </w:tr>
      <w:tr w:rsidR="00AC69D8" w:rsidRPr="00BD2337" w:rsidTr="00CD7053">
        <w:trPr>
          <w:trHeight w:val="70"/>
          <w:jc w:val="center"/>
        </w:trPr>
        <w:tc>
          <w:tcPr>
            <w:tcW w:w="0" w:type="auto"/>
            <w:gridSpan w:val="2"/>
            <w:vMerge/>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p>
        </w:tc>
        <w:tc>
          <w:tcPr>
            <w:tcW w:w="1467" w:type="dxa"/>
            <w:shd w:val="clear" w:color="auto"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Година 4</w:t>
            </w:r>
          </w:p>
        </w:tc>
        <w:tc>
          <w:tcPr>
            <w:tcW w:w="1467" w:type="dxa"/>
            <w:shd w:val="clear" w:color="auto"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Година 6</w:t>
            </w:r>
          </w:p>
        </w:tc>
        <w:tc>
          <w:tcPr>
            <w:tcW w:w="1469" w:type="dxa"/>
            <w:shd w:val="clear" w:color="auto"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Година 8</w:t>
            </w:r>
          </w:p>
        </w:tc>
      </w:tr>
      <w:tr w:rsidR="00AC69D8" w:rsidRPr="00BD2337" w:rsidTr="00CD7053">
        <w:trPr>
          <w:trHeight w:val="417"/>
          <w:jc w:val="center"/>
        </w:trPr>
        <w:tc>
          <w:tcPr>
            <w:tcW w:w="5292" w:type="dxa"/>
            <w:tcBorders>
              <w:right w:val="nil"/>
            </w:tcBorders>
            <w:shd w:val="clear" w:color="auto" w:fill="FFFFFF"/>
            <w:vAlign w:val="center"/>
          </w:tcPr>
          <w:p w:rsidR="00AC69D8" w:rsidRPr="00BD2337" w:rsidRDefault="00AC69D8" w:rsidP="00BD2337">
            <w:pPr>
              <w:suppressAutoHyphens/>
              <w:spacing w:before="60" w:after="60" w:line="240" w:lineRule="auto"/>
              <w:ind w:right="-1" w:firstLine="0"/>
              <w:rPr>
                <w:bCs/>
                <w:sz w:val="20"/>
                <w:szCs w:val="20"/>
                <w:lang w:eastAsia="bg-BG"/>
              </w:rPr>
            </w:pPr>
            <w:r w:rsidRPr="00BD2337">
              <w:rPr>
                <w:bCs/>
                <w:sz w:val="20"/>
                <w:szCs w:val="20"/>
                <w:lang w:eastAsia="bg-BG"/>
              </w:rPr>
              <w:t>% от СВО-та включени в регистър</w:t>
            </w:r>
          </w:p>
        </w:tc>
        <w:tc>
          <w:tcPr>
            <w:tcW w:w="190" w:type="dxa"/>
            <w:tcBorders>
              <w:left w:val="nil"/>
            </w:tcBorders>
            <w:shd w:val="clear" w:color="auto" w:fill="FFFFFF"/>
            <w:vAlign w:val="center"/>
          </w:tcPr>
          <w:p w:rsidR="00AC69D8" w:rsidRPr="00BD2337" w:rsidRDefault="00AC69D8" w:rsidP="00BD2337">
            <w:pPr>
              <w:suppressAutoHyphens/>
              <w:spacing w:before="60" w:after="60" w:line="240" w:lineRule="auto"/>
              <w:ind w:right="-1" w:firstLine="0"/>
              <w:rPr>
                <w:bCs/>
                <w:sz w:val="20"/>
                <w:szCs w:val="20"/>
                <w:lang w:eastAsia="bg-BG"/>
              </w:rPr>
            </w:pPr>
            <w:r w:rsidRPr="00BD2337">
              <w:rPr>
                <w:bCs/>
                <w:sz w:val="20"/>
                <w:szCs w:val="20"/>
                <w:lang w:eastAsia="bg-BG"/>
              </w:rPr>
              <w:t> </w:t>
            </w:r>
          </w:p>
        </w:tc>
        <w:tc>
          <w:tcPr>
            <w:tcW w:w="1467" w:type="dxa"/>
            <w:shd w:val="clear" w:color="auto" w:fill="FFFFFF"/>
            <w:noWrap/>
            <w:vAlign w:val="center"/>
          </w:tcPr>
          <w:p w:rsidR="00AC69D8" w:rsidRPr="00BD2337" w:rsidRDefault="00AC69D8" w:rsidP="00BD2337">
            <w:pPr>
              <w:suppressAutoHyphens/>
              <w:spacing w:before="60" w:after="60" w:line="240" w:lineRule="auto"/>
              <w:ind w:right="-1" w:firstLine="0"/>
              <w:jc w:val="center"/>
              <w:rPr>
                <w:bCs/>
                <w:sz w:val="20"/>
                <w:szCs w:val="20"/>
                <w:lang w:eastAsia="bg-BG"/>
              </w:rPr>
            </w:pPr>
            <w:r w:rsidRPr="00BD2337">
              <w:rPr>
                <w:bCs/>
                <w:sz w:val="20"/>
                <w:szCs w:val="20"/>
                <w:lang w:eastAsia="bg-BG"/>
              </w:rPr>
              <w:t>100%</w:t>
            </w:r>
          </w:p>
        </w:tc>
        <w:tc>
          <w:tcPr>
            <w:tcW w:w="1467" w:type="dxa"/>
            <w:shd w:val="clear" w:color="auto" w:fill="FFFFFF"/>
            <w:noWrap/>
            <w:vAlign w:val="center"/>
          </w:tcPr>
          <w:p w:rsidR="00AC69D8" w:rsidRPr="00BD2337" w:rsidRDefault="00AC69D8" w:rsidP="00BD2337">
            <w:pPr>
              <w:suppressAutoHyphens/>
              <w:spacing w:before="60" w:after="60" w:line="240" w:lineRule="auto"/>
              <w:ind w:right="-1" w:firstLine="0"/>
              <w:jc w:val="center"/>
              <w:rPr>
                <w:bCs/>
                <w:sz w:val="20"/>
                <w:szCs w:val="20"/>
                <w:lang w:eastAsia="bg-BG"/>
              </w:rPr>
            </w:pPr>
            <w:r w:rsidRPr="00BD2337">
              <w:rPr>
                <w:bCs/>
                <w:sz w:val="20"/>
                <w:szCs w:val="20"/>
                <w:lang w:eastAsia="bg-BG"/>
              </w:rPr>
              <w:t>-</w:t>
            </w:r>
          </w:p>
        </w:tc>
        <w:tc>
          <w:tcPr>
            <w:tcW w:w="1469" w:type="dxa"/>
            <w:shd w:val="clear" w:color="auto" w:fill="FFFFFF"/>
            <w:noWrap/>
            <w:vAlign w:val="center"/>
          </w:tcPr>
          <w:p w:rsidR="00AC69D8" w:rsidRPr="00BD2337" w:rsidRDefault="00AC69D8" w:rsidP="00BD2337">
            <w:pPr>
              <w:suppressAutoHyphens/>
              <w:spacing w:before="60" w:after="60" w:line="240" w:lineRule="auto"/>
              <w:ind w:right="-1" w:firstLine="0"/>
              <w:jc w:val="center"/>
              <w:rPr>
                <w:bCs/>
                <w:sz w:val="20"/>
                <w:szCs w:val="20"/>
                <w:lang w:eastAsia="bg-BG"/>
              </w:rPr>
            </w:pPr>
            <w:r w:rsidRPr="00BD2337">
              <w:rPr>
                <w:bCs/>
                <w:sz w:val="20"/>
                <w:szCs w:val="20"/>
                <w:lang w:eastAsia="bg-BG"/>
              </w:rPr>
              <w:t>-</w:t>
            </w:r>
          </w:p>
        </w:tc>
      </w:tr>
      <w:tr w:rsidR="00AC69D8" w:rsidRPr="00BD2337" w:rsidTr="00CD7053">
        <w:trPr>
          <w:trHeight w:val="70"/>
          <w:jc w:val="center"/>
        </w:trPr>
        <w:tc>
          <w:tcPr>
            <w:tcW w:w="5292" w:type="dxa"/>
            <w:tcBorders>
              <w:right w:val="nil"/>
            </w:tcBorders>
            <w:shd w:val="clear" w:color="auto" w:fill="FFFFFF"/>
            <w:vAlign w:val="center"/>
          </w:tcPr>
          <w:p w:rsidR="00AC69D8" w:rsidRPr="00BD2337" w:rsidRDefault="00AC69D8" w:rsidP="00BD2337">
            <w:pPr>
              <w:suppressAutoHyphens/>
              <w:spacing w:before="60" w:after="60" w:line="240" w:lineRule="auto"/>
              <w:ind w:right="-1" w:firstLine="0"/>
              <w:jc w:val="left"/>
              <w:rPr>
                <w:bCs/>
                <w:sz w:val="20"/>
                <w:szCs w:val="20"/>
                <w:lang w:eastAsia="bg-BG"/>
              </w:rPr>
            </w:pPr>
            <w:r w:rsidRPr="00BD2337">
              <w:rPr>
                <w:bCs/>
                <w:sz w:val="20"/>
                <w:szCs w:val="20"/>
                <w:lang w:eastAsia="bg-BG"/>
              </w:rPr>
              <w:t>% от всички СВО-та оборудвани с водомери в срок на метрологична годност</w:t>
            </w:r>
          </w:p>
        </w:tc>
        <w:tc>
          <w:tcPr>
            <w:tcW w:w="190" w:type="dxa"/>
            <w:tcBorders>
              <w:left w:val="nil"/>
            </w:tcBorders>
            <w:shd w:val="clear" w:color="auto" w:fill="FFFFFF"/>
            <w:vAlign w:val="center"/>
          </w:tcPr>
          <w:p w:rsidR="00AC69D8" w:rsidRPr="00BD2337" w:rsidRDefault="00AC69D8" w:rsidP="00BD2337">
            <w:pPr>
              <w:suppressAutoHyphens/>
              <w:spacing w:before="60" w:after="60" w:line="240" w:lineRule="auto"/>
              <w:ind w:right="-1" w:firstLine="0"/>
              <w:jc w:val="left"/>
              <w:rPr>
                <w:bCs/>
                <w:sz w:val="20"/>
                <w:szCs w:val="20"/>
                <w:lang w:eastAsia="bg-BG"/>
              </w:rPr>
            </w:pPr>
            <w:r w:rsidRPr="00BD2337">
              <w:rPr>
                <w:bCs/>
                <w:sz w:val="20"/>
                <w:szCs w:val="20"/>
                <w:lang w:eastAsia="bg-BG"/>
              </w:rPr>
              <w:t> </w:t>
            </w:r>
          </w:p>
        </w:tc>
        <w:tc>
          <w:tcPr>
            <w:tcW w:w="1467" w:type="dxa"/>
            <w:shd w:val="clear" w:color="auto" w:fill="FFFFFF"/>
            <w:noWrap/>
            <w:vAlign w:val="center"/>
          </w:tcPr>
          <w:p w:rsidR="00AC69D8" w:rsidRPr="00BD2337" w:rsidRDefault="00AC69D8" w:rsidP="00BD2337">
            <w:pPr>
              <w:suppressAutoHyphens/>
              <w:spacing w:before="60" w:after="60" w:line="240" w:lineRule="auto"/>
              <w:ind w:right="-1" w:firstLine="0"/>
              <w:jc w:val="center"/>
              <w:rPr>
                <w:bCs/>
                <w:sz w:val="20"/>
                <w:szCs w:val="20"/>
                <w:lang w:eastAsia="bg-BG"/>
              </w:rPr>
            </w:pPr>
            <w:r w:rsidRPr="00BD2337">
              <w:rPr>
                <w:bCs/>
                <w:sz w:val="20"/>
                <w:szCs w:val="20"/>
                <w:lang w:eastAsia="bg-BG"/>
              </w:rPr>
              <w:t>-</w:t>
            </w:r>
          </w:p>
        </w:tc>
        <w:tc>
          <w:tcPr>
            <w:tcW w:w="1467" w:type="dxa"/>
            <w:shd w:val="clear" w:color="auto" w:fill="FFFFFF"/>
            <w:noWrap/>
            <w:vAlign w:val="center"/>
          </w:tcPr>
          <w:p w:rsidR="00AC69D8" w:rsidRPr="00BD2337" w:rsidRDefault="00AC69D8" w:rsidP="00BD2337">
            <w:pPr>
              <w:suppressAutoHyphens/>
              <w:spacing w:before="60" w:after="60" w:line="240" w:lineRule="auto"/>
              <w:ind w:right="-1" w:firstLine="0"/>
              <w:jc w:val="center"/>
              <w:rPr>
                <w:bCs/>
                <w:sz w:val="20"/>
                <w:szCs w:val="20"/>
                <w:lang w:eastAsia="bg-BG"/>
              </w:rPr>
            </w:pPr>
            <w:r w:rsidRPr="00BD2337">
              <w:rPr>
                <w:bCs/>
                <w:sz w:val="20"/>
                <w:szCs w:val="20"/>
                <w:lang w:eastAsia="bg-BG"/>
              </w:rPr>
              <w:t>-</w:t>
            </w:r>
          </w:p>
        </w:tc>
        <w:tc>
          <w:tcPr>
            <w:tcW w:w="1469" w:type="dxa"/>
            <w:shd w:val="clear" w:color="auto" w:fill="FFFFFF"/>
            <w:noWrap/>
            <w:vAlign w:val="center"/>
          </w:tcPr>
          <w:p w:rsidR="00AC69D8" w:rsidRPr="00BD2337" w:rsidRDefault="00AC69D8" w:rsidP="00BD2337">
            <w:pPr>
              <w:suppressAutoHyphens/>
              <w:spacing w:before="60" w:after="60" w:line="240" w:lineRule="auto"/>
              <w:ind w:right="-1" w:firstLine="0"/>
              <w:jc w:val="center"/>
              <w:rPr>
                <w:bCs/>
                <w:sz w:val="20"/>
                <w:szCs w:val="20"/>
                <w:lang w:eastAsia="bg-BG"/>
              </w:rPr>
            </w:pPr>
            <w:r w:rsidRPr="00BD2337">
              <w:rPr>
                <w:bCs/>
                <w:sz w:val="20"/>
                <w:szCs w:val="20"/>
                <w:lang w:eastAsia="bg-BG"/>
              </w:rPr>
              <w:t>80%</w:t>
            </w:r>
          </w:p>
        </w:tc>
      </w:tr>
      <w:tr w:rsidR="00AC69D8" w:rsidRPr="00BD2337" w:rsidTr="00CD7053">
        <w:trPr>
          <w:trHeight w:val="70"/>
          <w:jc w:val="center"/>
        </w:trPr>
        <w:tc>
          <w:tcPr>
            <w:tcW w:w="5292" w:type="dxa"/>
            <w:tcBorders>
              <w:right w:val="nil"/>
            </w:tcBorders>
            <w:shd w:val="clear" w:color="auto" w:fill="FFFFFF"/>
            <w:vAlign w:val="center"/>
          </w:tcPr>
          <w:p w:rsidR="00AC69D8" w:rsidRPr="00BD2337" w:rsidRDefault="00AC69D8" w:rsidP="00BD2337">
            <w:pPr>
              <w:suppressAutoHyphens/>
              <w:spacing w:before="60" w:after="60" w:line="240" w:lineRule="auto"/>
              <w:ind w:right="-1" w:firstLine="0"/>
              <w:rPr>
                <w:sz w:val="20"/>
                <w:szCs w:val="20"/>
                <w:lang w:eastAsia="bg-BG"/>
              </w:rPr>
            </w:pPr>
            <w:r w:rsidRPr="00BD2337">
              <w:rPr>
                <w:sz w:val="20"/>
                <w:szCs w:val="20"/>
                <w:lang w:eastAsia="bg-BG"/>
              </w:rPr>
              <w:t xml:space="preserve">% от СВО-та с измерена консумация над 100 м3/месец,  оборудвани с водомери в срок на метрологична годност </w:t>
            </w:r>
          </w:p>
        </w:tc>
        <w:tc>
          <w:tcPr>
            <w:tcW w:w="190" w:type="dxa"/>
            <w:tcBorders>
              <w:left w:val="nil"/>
            </w:tcBorders>
            <w:shd w:val="clear" w:color="auto" w:fill="FFFFFF"/>
            <w:vAlign w:val="center"/>
          </w:tcPr>
          <w:p w:rsidR="00AC69D8" w:rsidRPr="00BD2337" w:rsidRDefault="00AC69D8" w:rsidP="00BD2337">
            <w:pPr>
              <w:suppressAutoHyphens/>
              <w:spacing w:before="60" w:after="60" w:line="240" w:lineRule="auto"/>
              <w:ind w:right="-1" w:firstLine="0"/>
              <w:rPr>
                <w:sz w:val="20"/>
                <w:szCs w:val="20"/>
                <w:lang w:eastAsia="bg-BG"/>
              </w:rPr>
            </w:pPr>
            <w:r w:rsidRPr="00BD2337">
              <w:rPr>
                <w:sz w:val="20"/>
                <w:szCs w:val="20"/>
                <w:lang w:eastAsia="bg-BG"/>
              </w:rPr>
              <w:t> </w:t>
            </w:r>
          </w:p>
        </w:tc>
        <w:tc>
          <w:tcPr>
            <w:tcW w:w="1467" w:type="dxa"/>
            <w:shd w:val="clear" w:color="auto"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w:t>
            </w:r>
          </w:p>
        </w:tc>
        <w:tc>
          <w:tcPr>
            <w:tcW w:w="1467" w:type="dxa"/>
            <w:shd w:val="clear" w:color="auto"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95%</w:t>
            </w:r>
          </w:p>
        </w:tc>
        <w:tc>
          <w:tcPr>
            <w:tcW w:w="1469" w:type="dxa"/>
            <w:shd w:val="clear" w:color="auto"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w:t>
            </w:r>
          </w:p>
        </w:tc>
      </w:tr>
    </w:tbl>
    <w:p w:rsidR="00AC69D8" w:rsidRPr="00BD2337" w:rsidRDefault="00AC69D8" w:rsidP="00BD2337">
      <w:pPr>
        <w:keepNext/>
        <w:keepLines/>
        <w:spacing w:before="60" w:after="60" w:line="240" w:lineRule="auto"/>
        <w:ind w:right="-1" w:firstLine="0"/>
        <w:rPr>
          <w:sz w:val="20"/>
          <w:szCs w:val="20"/>
        </w:rPr>
      </w:pPr>
    </w:p>
    <w:p w:rsidR="00AC69D8" w:rsidRPr="00BD2337" w:rsidRDefault="00AC69D8" w:rsidP="00BD2337">
      <w:pPr>
        <w:keepNext/>
        <w:keepLines/>
        <w:numPr>
          <w:ilvl w:val="0"/>
          <w:numId w:val="12"/>
        </w:numPr>
        <w:suppressAutoHyphens/>
        <w:spacing w:before="60" w:after="60" w:line="240" w:lineRule="auto"/>
        <w:ind w:left="0" w:right="-1" w:firstLine="0"/>
        <w:jc w:val="left"/>
        <w:rPr>
          <w:b/>
          <w:szCs w:val="24"/>
          <w:u w:val="single"/>
        </w:rPr>
      </w:pPr>
      <w:r w:rsidRPr="00BD2337">
        <w:rPr>
          <w:b/>
          <w:szCs w:val="24"/>
          <w:u w:val="single"/>
        </w:rPr>
        <w:t>Показател за оперативна ефективност – експлоатационни разход спрямо оперативни приходи</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16"/>
        <w:gridCol w:w="2317"/>
        <w:gridCol w:w="1238"/>
        <w:gridCol w:w="1238"/>
        <w:gridCol w:w="1239"/>
      </w:tblGrid>
      <w:tr w:rsidR="00AC69D8" w:rsidRPr="00BD2337" w:rsidTr="00CD7053">
        <w:trPr>
          <w:trHeight w:val="346"/>
          <w:jc w:val="center"/>
        </w:trPr>
        <w:tc>
          <w:tcPr>
            <w:tcW w:w="3816" w:type="dxa"/>
            <w:vMerge w:val="restart"/>
            <w:shd w:val="clear" w:color="auto" w:fill="FFFFFF"/>
            <w:vAlign w:val="center"/>
          </w:tcPr>
          <w:p w:rsidR="00AC69D8" w:rsidRPr="00BD2337" w:rsidRDefault="00AC69D8" w:rsidP="00BD2337">
            <w:pPr>
              <w:suppressAutoHyphens/>
              <w:spacing w:before="60" w:after="60" w:line="240" w:lineRule="auto"/>
              <w:ind w:right="-1" w:firstLine="0"/>
              <w:rPr>
                <w:b/>
                <w:bCs/>
                <w:sz w:val="20"/>
                <w:szCs w:val="20"/>
                <w:lang w:eastAsia="bg-BG"/>
              </w:rPr>
            </w:pPr>
            <w:r w:rsidRPr="00BD2337">
              <w:rPr>
                <w:b/>
                <w:bCs/>
                <w:sz w:val="20"/>
                <w:szCs w:val="20"/>
                <w:lang w:eastAsia="bg-BG"/>
              </w:rPr>
              <w:t>Показател</w:t>
            </w:r>
          </w:p>
        </w:tc>
        <w:tc>
          <w:tcPr>
            <w:tcW w:w="2317" w:type="dxa"/>
            <w:vMerge w:val="restart"/>
            <w:shd w:val="clear" w:color="auto"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Базова стойност (БС)</w:t>
            </w:r>
          </w:p>
        </w:tc>
        <w:tc>
          <w:tcPr>
            <w:tcW w:w="3715" w:type="dxa"/>
            <w:gridSpan w:val="3"/>
            <w:shd w:val="clear" w:color="auto"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Целеви нива по години от договора</w:t>
            </w:r>
          </w:p>
        </w:tc>
      </w:tr>
      <w:tr w:rsidR="00AC69D8" w:rsidRPr="00BD2337" w:rsidTr="00CD7053">
        <w:trPr>
          <w:trHeight w:val="70"/>
          <w:jc w:val="center"/>
        </w:trPr>
        <w:tc>
          <w:tcPr>
            <w:tcW w:w="3816" w:type="dxa"/>
            <w:vMerge/>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p>
        </w:tc>
        <w:tc>
          <w:tcPr>
            <w:tcW w:w="2317" w:type="dxa"/>
            <w:vMerge/>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p>
        </w:tc>
        <w:tc>
          <w:tcPr>
            <w:tcW w:w="1238" w:type="dxa"/>
            <w:shd w:val="clear" w:color="auto" w:fill="FFFFFF"/>
            <w:noWrap/>
            <w:vAlign w:val="center"/>
          </w:tcPr>
          <w:p w:rsidR="00AC69D8" w:rsidRPr="00BD2337" w:rsidRDefault="00AC69D8" w:rsidP="00BD2337">
            <w:pPr>
              <w:suppressAutoHyphens/>
              <w:spacing w:before="60" w:after="60" w:line="240" w:lineRule="auto"/>
              <w:ind w:right="-1" w:firstLine="0"/>
              <w:jc w:val="right"/>
              <w:rPr>
                <w:b/>
                <w:bCs/>
                <w:sz w:val="20"/>
                <w:szCs w:val="20"/>
                <w:lang w:eastAsia="bg-BG"/>
              </w:rPr>
            </w:pPr>
            <w:r w:rsidRPr="00BD2337">
              <w:rPr>
                <w:b/>
                <w:bCs/>
                <w:sz w:val="20"/>
                <w:szCs w:val="20"/>
                <w:lang w:eastAsia="bg-BG"/>
              </w:rPr>
              <w:t>Година 5</w:t>
            </w:r>
          </w:p>
        </w:tc>
        <w:tc>
          <w:tcPr>
            <w:tcW w:w="1238" w:type="dxa"/>
            <w:shd w:val="clear" w:color="auto" w:fill="FFFFFF"/>
            <w:noWrap/>
            <w:vAlign w:val="center"/>
          </w:tcPr>
          <w:p w:rsidR="00AC69D8" w:rsidRPr="00BD2337" w:rsidRDefault="00AC69D8" w:rsidP="00BD2337">
            <w:pPr>
              <w:suppressAutoHyphens/>
              <w:spacing w:before="60" w:after="60" w:line="240" w:lineRule="auto"/>
              <w:ind w:right="-1" w:firstLine="0"/>
              <w:jc w:val="right"/>
              <w:rPr>
                <w:b/>
                <w:bCs/>
                <w:sz w:val="20"/>
                <w:szCs w:val="20"/>
                <w:lang w:eastAsia="bg-BG"/>
              </w:rPr>
            </w:pPr>
            <w:r w:rsidRPr="00BD2337">
              <w:rPr>
                <w:b/>
                <w:bCs/>
                <w:sz w:val="20"/>
                <w:szCs w:val="20"/>
                <w:lang w:eastAsia="bg-BG"/>
              </w:rPr>
              <w:t>Година 10</w:t>
            </w:r>
          </w:p>
        </w:tc>
        <w:tc>
          <w:tcPr>
            <w:tcW w:w="1239" w:type="dxa"/>
            <w:shd w:val="clear" w:color="auto" w:fill="FFFFFF"/>
            <w:noWrap/>
            <w:vAlign w:val="center"/>
          </w:tcPr>
          <w:p w:rsidR="00AC69D8" w:rsidRPr="00BD2337" w:rsidRDefault="00AC69D8" w:rsidP="00BD2337">
            <w:pPr>
              <w:suppressAutoHyphens/>
              <w:spacing w:before="60" w:after="60" w:line="240" w:lineRule="auto"/>
              <w:ind w:right="-1" w:firstLine="0"/>
              <w:jc w:val="right"/>
              <w:rPr>
                <w:b/>
                <w:bCs/>
                <w:sz w:val="20"/>
                <w:szCs w:val="20"/>
                <w:lang w:eastAsia="bg-BG"/>
              </w:rPr>
            </w:pPr>
            <w:r w:rsidRPr="00BD2337">
              <w:rPr>
                <w:b/>
                <w:bCs/>
                <w:sz w:val="20"/>
                <w:szCs w:val="20"/>
                <w:lang w:eastAsia="bg-BG"/>
              </w:rPr>
              <w:t>Година 15</w:t>
            </w:r>
          </w:p>
        </w:tc>
      </w:tr>
      <w:tr w:rsidR="00AC69D8" w:rsidRPr="002A1C9E" w:rsidTr="00CD7053">
        <w:trPr>
          <w:trHeight w:val="407"/>
          <w:jc w:val="center"/>
        </w:trPr>
        <w:tc>
          <w:tcPr>
            <w:tcW w:w="3816" w:type="dxa"/>
            <w:shd w:val="clear" w:color="auto" w:fill="FFFFFF"/>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Оперативен показател - % на експлоатационни разходи спрямо приходи от оперативна дейност. Експлоатационните разходи включват всички разходи с изключение на разходи за амортизации и обезценки и разходи за провизии.</w:t>
            </w:r>
          </w:p>
        </w:tc>
        <w:tc>
          <w:tcPr>
            <w:tcW w:w="2317" w:type="dxa"/>
            <w:shd w:val="clear" w:color="auto" w:fill="FFFFFF"/>
            <w:noWrap/>
            <w:vAlign w:val="center"/>
          </w:tcPr>
          <w:p w:rsidR="00AC69D8" w:rsidRPr="00BD2337" w:rsidRDefault="00AC69D8" w:rsidP="00BD2337">
            <w:pPr>
              <w:suppressAutoHyphens/>
              <w:spacing w:before="60" w:after="60" w:line="240" w:lineRule="auto"/>
              <w:ind w:right="-1" w:firstLine="0"/>
              <w:rPr>
                <w:sz w:val="20"/>
                <w:szCs w:val="20"/>
                <w:lang w:eastAsia="bg-BG"/>
              </w:rPr>
            </w:pPr>
            <w:r w:rsidRPr="00BD2337">
              <w:rPr>
                <w:sz w:val="20"/>
                <w:szCs w:val="20"/>
                <w:lang w:eastAsia="bg-BG"/>
              </w:rPr>
              <w:t>88% към 31 декември 2014 г.</w:t>
            </w:r>
          </w:p>
        </w:tc>
        <w:tc>
          <w:tcPr>
            <w:tcW w:w="1238" w:type="dxa"/>
            <w:shd w:val="clear" w:color="auto"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БС-2%</w:t>
            </w:r>
          </w:p>
        </w:tc>
        <w:tc>
          <w:tcPr>
            <w:tcW w:w="1238" w:type="dxa"/>
            <w:shd w:val="clear" w:color="auto"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БС-4%</w:t>
            </w:r>
          </w:p>
        </w:tc>
        <w:tc>
          <w:tcPr>
            <w:tcW w:w="1239" w:type="dxa"/>
            <w:shd w:val="clear" w:color="auto" w:fill="FFFFFF"/>
            <w:noWrap/>
            <w:vAlign w:val="center"/>
          </w:tcPr>
          <w:p w:rsidR="00AC69D8" w:rsidRPr="00BD2337" w:rsidRDefault="00AC69D8" w:rsidP="00BD2337">
            <w:pPr>
              <w:suppressAutoHyphens/>
              <w:spacing w:before="60" w:after="60" w:line="240" w:lineRule="auto"/>
              <w:ind w:right="-1" w:firstLine="0"/>
              <w:jc w:val="center"/>
              <w:rPr>
                <w:sz w:val="20"/>
                <w:szCs w:val="20"/>
                <w:lang w:eastAsia="bg-BG"/>
              </w:rPr>
            </w:pPr>
            <w:r w:rsidRPr="00BD2337">
              <w:rPr>
                <w:sz w:val="20"/>
                <w:szCs w:val="20"/>
                <w:lang w:eastAsia="bg-BG"/>
              </w:rPr>
              <w:t>81%</w:t>
            </w:r>
          </w:p>
        </w:tc>
      </w:tr>
    </w:tbl>
    <w:p w:rsidR="00AC69D8" w:rsidRPr="00BD2337" w:rsidRDefault="00AC69D8" w:rsidP="00BD2337">
      <w:pPr>
        <w:keepNext/>
        <w:keepLines/>
        <w:spacing w:before="60" w:after="60" w:line="240" w:lineRule="auto"/>
        <w:ind w:right="-1" w:firstLine="0"/>
        <w:jc w:val="left"/>
        <w:rPr>
          <w:b/>
          <w:szCs w:val="24"/>
          <w:u w:val="single"/>
        </w:rPr>
      </w:pPr>
    </w:p>
    <w:p w:rsidR="00AC69D8" w:rsidRPr="00BD2337" w:rsidRDefault="00AC69D8" w:rsidP="00BD2337">
      <w:pPr>
        <w:keepNext/>
        <w:keepLines/>
        <w:numPr>
          <w:ilvl w:val="0"/>
          <w:numId w:val="12"/>
        </w:numPr>
        <w:suppressAutoHyphens/>
        <w:spacing w:before="60" w:after="60" w:line="240" w:lineRule="auto"/>
        <w:ind w:left="0" w:right="-1" w:firstLine="0"/>
        <w:jc w:val="left"/>
        <w:rPr>
          <w:b/>
          <w:szCs w:val="24"/>
          <w:u w:val="single"/>
        </w:rPr>
      </w:pPr>
      <w:r>
        <w:rPr>
          <w:b/>
          <w:szCs w:val="24"/>
          <w:u w:val="single"/>
        </w:rPr>
        <w:br w:type="page"/>
      </w:r>
      <w:r w:rsidRPr="00BD2337">
        <w:rPr>
          <w:b/>
          <w:szCs w:val="24"/>
          <w:u w:val="single"/>
        </w:rPr>
        <w:lastRenderedPageBreak/>
        <w:t>Ефективност обслужване на клиенти – срок за отговор на клиентски въпроси</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83"/>
        <w:gridCol w:w="6966"/>
      </w:tblGrid>
      <w:tr w:rsidR="00AC69D8" w:rsidRPr="00BD2337" w:rsidTr="00CD7053">
        <w:trPr>
          <w:trHeight w:val="290"/>
          <w:tblHeader/>
          <w:jc w:val="center"/>
        </w:trPr>
        <w:tc>
          <w:tcPr>
            <w:tcW w:w="2883" w:type="dxa"/>
            <w:vMerge w:val="restart"/>
            <w:shd w:val="clear" w:color="auto" w:fill="FFFFFF"/>
            <w:vAlign w:val="center"/>
          </w:tcPr>
          <w:p w:rsidR="00AC69D8" w:rsidRPr="00BD2337" w:rsidRDefault="00AC69D8" w:rsidP="00BD2337">
            <w:pPr>
              <w:suppressAutoHyphens/>
              <w:spacing w:before="60" w:after="60" w:line="240" w:lineRule="auto"/>
              <w:ind w:right="-1" w:firstLine="0"/>
              <w:rPr>
                <w:b/>
                <w:bCs/>
                <w:sz w:val="20"/>
                <w:szCs w:val="20"/>
                <w:lang w:eastAsia="bg-BG"/>
              </w:rPr>
            </w:pPr>
            <w:r w:rsidRPr="00BD2337">
              <w:rPr>
                <w:b/>
                <w:bCs/>
                <w:sz w:val="20"/>
                <w:szCs w:val="20"/>
                <w:lang w:eastAsia="bg-BG"/>
              </w:rPr>
              <w:t>Показател</w:t>
            </w:r>
          </w:p>
        </w:tc>
        <w:tc>
          <w:tcPr>
            <w:tcW w:w="6966" w:type="dxa"/>
            <w:vMerge w:val="restart"/>
            <w:shd w:val="clear" w:color="auto"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Целево ниво</w:t>
            </w:r>
          </w:p>
        </w:tc>
      </w:tr>
      <w:tr w:rsidR="00AC69D8" w:rsidRPr="00BD2337" w:rsidTr="00CD7053">
        <w:trPr>
          <w:trHeight w:val="350"/>
          <w:tblHeader/>
          <w:jc w:val="center"/>
        </w:trPr>
        <w:tc>
          <w:tcPr>
            <w:tcW w:w="0" w:type="auto"/>
            <w:vMerge/>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p>
        </w:tc>
        <w:tc>
          <w:tcPr>
            <w:tcW w:w="0" w:type="auto"/>
            <w:vMerge/>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p>
        </w:tc>
      </w:tr>
      <w:tr w:rsidR="00AC69D8" w:rsidRPr="00BD2337" w:rsidTr="00CD7053">
        <w:trPr>
          <w:trHeight w:val="661"/>
          <w:jc w:val="center"/>
        </w:trPr>
        <w:tc>
          <w:tcPr>
            <w:tcW w:w="2883" w:type="dxa"/>
            <w:vAlign w:val="center"/>
          </w:tcPr>
          <w:p w:rsidR="00AC69D8" w:rsidRPr="00BD2337" w:rsidRDefault="00AC69D8" w:rsidP="00BD2337">
            <w:pPr>
              <w:suppressAutoHyphens/>
              <w:spacing w:before="60" w:after="60" w:line="240" w:lineRule="auto"/>
              <w:ind w:right="-1" w:firstLine="0"/>
              <w:rPr>
                <w:sz w:val="20"/>
                <w:szCs w:val="20"/>
                <w:lang w:eastAsia="bg-BG"/>
              </w:rPr>
            </w:pPr>
            <w:r w:rsidRPr="00BD2337">
              <w:rPr>
                <w:sz w:val="20"/>
                <w:szCs w:val="20"/>
                <w:lang w:eastAsia="bg-BG"/>
              </w:rPr>
              <w:t>Срок за отговор на постъпили въпроси от клиенти</w:t>
            </w:r>
          </w:p>
        </w:tc>
        <w:tc>
          <w:tcPr>
            <w:tcW w:w="6966" w:type="dxa"/>
            <w:shd w:val="clear" w:color="auto" w:fill="FFFFFF"/>
            <w:vAlign w:val="center"/>
          </w:tcPr>
          <w:p w:rsidR="00AC69D8" w:rsidRPr="00BD2337" w:rsidRDefault="00AC69D8" w:rsidP="00BD2337">
            <w:pPr>
              <w:suppressAutoHyphens/>
              <w:spacing w:before="60" w:after="60" w:line="240" w:lineRule="auto"/>
              <w:ind w:right="-1" w:firstLine="0"/>
              <w:rPr>
                <w:sz w:val="20"/>
                <w:szCs w:val="20"/>
                <w:lang w:eastAsia="bg-BG"/>
              </w:rPr>
            </w:pPr>
            <w:r w:rsidRPr="00BD2337">
              <w:rPr>
                <w:sz w:val="20"/>
                <w:szCs w:val="20"/>
                <w:lang w:eastAsia="bg-BG"/>
              </w:rPr>
              <w:t xml:space="preserve">95% от въпросите и жалбите постъпили от клиенти (писмени, онлайн, телефонни) да получават отговор в рамките на 14 дни. </w:t>
            </w:r>
          </w:p>
        </w:tc>
      </w:tr>
    </w:tbl>
    <w:p w:rsidR="00AC69D8" w:rsidRPr="00BD2337" w:rsidRDefault="00AC69D8" w:rsidP="00BD2337">
      <w:pPr>
        <w:keepNext/>
        <w:keepLines/>
        <w:spacing w:before="60" w:after="60" w:line="240" w:lineRule="auto"/>
        <w:ind w:right="-1" w:firstLine="0"/>
        <w:rPr>
          <w:b/>
          <w:sz w:val="20"/>
          <w:szCs w:val="20"/>
          <w:u w:val="single"/>
        </w:rPr>
      </w:pPr>
    </w:p>
    <w:p w:rsidR="00AC69D8" w:rsidRPr="00BD2337" w:rsidRDefault="00AC69D8" w:rsidP="00BD2337">
      <w:pPr>
        <w:keepNext/>
        <w:keepLines/>
        <w:numPr>
          <w:ilvl w:val="0"/>
          <w:numId w:val="12"/>
        </w:numPr>
        <w:suppressAutoHyphens/>
        <w:spacing w:before="60" w:after="60" w:line="240" w:lineRule="auto"/>
        <w:ind w:left="0" w:right="-1" w:firstLine="0"/>
        <w:jc w:val="left"/>
        <w:rPr>
          <w:b/>
          <w:szCs w:val="24"/>
          <w:u w:val="single"/>
        </w:rPr>
      </w:pPr>
      <w:r w:rsidRPr="00BD2337">
        <w:rPr>
          <w:b/>
          <w:szCs w:val="24"/>
          <w:u w:val="single"/>
        </w:rPr>
        <w:t>Въвеждане на регистър на активите (неколичествен показател)</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041"/>
        <w:gridCol w:w="5707"/>
        <w:gridCol w:w="190"/>
      </w:tblGrid>
      <w:tr w:rsidR="00AC69D8" w:rsidRPr="00BD2337" w:rsidTr="00CD7053">
        <w:trPr>
          <w:trHeight w:val="290"/>
          <w:jc w:val="center"/>
        </w:trPr>
        <w:tc>
          <w:tcPr>
            <w:tcW w:w="4041" w:type="dxa"/>
            <w:vMerge w:val="restart"/>
            <w:shd w:val="clear" w:color="auto" w:fill="FFFFFF"/>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r w:rsidRPr="00BD2337">
              <w:rPr>
                <w:b/>
                <w:bCs/>
                <w:sz w:val="20"/>
                <w:szCs w:val="20"/>
                <w:lang w:eastAsia="bg-BG"/>
              </w:rPr>
              <w:t>Показател</w:t>
            </w:r>
          </w:p>
        </w:tc>
        <w:tc>
          <w:tcPr>
            <w:tcW w:w="5897" w:type="dxa"/>
            <w:gridSpan w:val="2"/>
            <w:vMerge w:val="restart"/>
            <w:shd w:val="clear" w:color="auto" w:fill="FFFFFF"/>
            <w:noWrap/>
            <w:vAlign w:val="center"/>
          </w:tcPr>
          <w:p w:rsidR="00AC69D8" w:rsidRPr="00BD2337" w:rsidRDefault="00AC69D8" w:rsidP="00BD2337">
            <w:pPr>
              <w:suppressAutoHyphens/>
              <w:spacing w:before="60" w:after="60" w:line="240" w:lineRule="auto"/>
              <w:ind w:right="-1" w:firstLine="0"/>
              <w:jc w:val="center"/>
              <w:rPr>
                <w:b/>
                <w:bCs/>
                <w:sz w:val="20"/>
                <w:szCs w:val="20"/>
                <w:lang w:eastAsia="bg-BG"/>
              </w:rPr>
            </w:pPr>
            <w:r w:rsidRPr="00BD2337">
              <w:rPr>
                <w:b/>
                <w:bCs/>
                <w:sz w:val="20"/>
                <w:szCs w:val="20"/>
                <w:lang w:eastAsia="bg-BG"/>
              </w:rPr>
              <w:t>Срок за изпълнение</w:t>
            </w:r>
          </w:p>
        </w:tc>
      </w:tr>
      <w:tr w:rsidR="00AC69D8" w:rsidRPr="00BD2337" w:rsidTr="00CD7053">
        <w:trPr>
          <w:trHeight w:val="350"/>
          <w:jc w:val="center"/>
        </w:trPr>
        <w:tc>
          <w:tcPr>
            <w:tcW w:w="0" w:type="auto"/>
            <w:vMerge/>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p>
        </w:tc>
        <w:tc>
          <w:tcPr>
            <w:tcW w:w="0" w:type="auto"/>
            <w:gridSpan w:val="2"/>
            <w:vMerge/>
            <w:vAlign w:val="center"/>
          </w:tcPr>
          <w:p w:rsidR="00AC69D8" w:rsidRPr="00BD2337" w:rsidRDefault="00AC69D8" w:rsidP="00BD2337">
            <w:pPr>
              <w:suppressAutoHyphens/>
              <w:spacing w:before="60" w:after="60" w:line="240" w:lineRule="auto"/>
              <w:ind w:right="-1" w:firstLine="0"/>
              <w:jc w:val="left"/>
              <w:rPr>
                <w:b/>
                <w:bCs/>
                <w:sz w:val="20"/>
                <w:szCs w:val="20"/>
                <w:lang w:eastAsia="bg-BG"/>
              </w:rPr>
            </w:pPr>
          </w:p>
        </w:tc>
      </w:tr>
      <w:tr w:rsidR="00AC69D8" w:rsidRPr="00BD2337" w:rsidTr="00CD7053">
        <w:trPr>
          <w:trHeight w:val="247"/>
          <w:jc w:val="center"/>
        </w:trPr>
        <w:tc>
          <w:tcPr>
            <w:tcW w:w="4041" w:type="dxa"/>
            <w:shd w:val="clear" w:color="auto" w:fill="FFFFFF"/>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Създаване на регистър на активи</w:t>
            </w:r>
          </w:p>
        </w:tc>
        <w:tc>
          <w:tcPr>
            <w:tcW w:w="5897" w:type="dxa"/>
            <w:gridSpan w:val="2"/>
            <w:shd w:val="clear" w:color="auto" w:fill="FFFFFF"/>
            <w:noWrap/>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В срок от 5 години от началото на договора</w:t>
            </w:r>
          </w:p>
        </w:tc>
      </w:tr>
      <w:tr w:rsidR="00AC69D8" w:rsidRPr="00BD2337" w:rsidTr="00CD7053">
        <w:trPr>
          <w:trHeight w:val="247"/>
          <w:jc w:val="center"/>
        </w:trPr>
        <w:tc>
          <w:tcPr>
            <w:tcW w:w="4041" w:type="dxa"/>
            <w:shd w:val="clear" w:color="auto" w:fill="FFFFFF"/>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Дефиниране на критични активи</w:t>
            </w:r>
          </w:p>
        </w:tc>
        <w:tc>
          <w:tcPr>
            <w:tcW w:w="5897" w:type="dxa"/>
            <w:gridSpan w:val="2"/>
            <w:shd w:val="clear" w:color="auto" w:fill="FFFFFF"/>
            <w:noWrap/>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В срок от 5 години от началото на договора</w:t>
            </w:r>
          </w:p>
        </w:tc>
      </w:tr>
      <w:tr w:rsidR="00AC69D8" w:rsidRPr="00BD2337" w:rsidTr="00CD7053">
        <w:trPr>
          <w:trHeight w:val="247"/>
          <w:jc w:val="center"/>
        </w:trPr>
        <w:tc>
          <w:tcPr>
            <w:tcW w:w="4041" w:type="dxa"/>
            <w:shd w:val="clear" w:color="auto" w:fill="FFFFFF"/>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Оценка на състоянието на критичните активи</w:t>
            </w:r>
          </w:p>
        </w:tc>
        <w:tc>
          <w:tcPr>
            <w:tcW w:w="5707" w:type="dxa"/>
            <w:tcBorders>
              <w:right w:val="nil"/>
            </w:tcBorders>
            <w:shd w:val="clear" w:color="auto" w:fill="FFFFFF"/>
            <w:noWrap/>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В срок от 5 години от началото на договора</w:t>
            </w:r>
          </w:p>
        </w:tc>
        <w:tc>
          <w:tcPr>
            <w:tcW w:w="190" w:type="dxa"/>
            <w:tcBorders>
              <w:top w:val="nil"/>
              <w:left w:val="nil"/>
              <w:bottom w:val="nil"/>
            </w:tcBorders>
            <w:shd w:val="clear" w:color="auto" w:fill="FFFFFF"/>
            <w:noWrap/>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 </w:t>
            </w:r>
          </w:p>
        </w:tc>
      </w:tr>
      <w:tr w:rsidR="00AC69D8" w:rsidRPr="00BD2337" w:rsidTr="00CD7053">
        <w:trPr>
          <w:trHeight w:val="247"/>
          <w:jc w:val="center"/>
        </w:trPr>
        <w:tc>
          <w:tcPr>
            <w:tcW w:w="4041" w:type="dxa"/>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Оценка на състоянието на всички активи</w:t>
            </w:r>
          </w:p>
        </w:tc>
        <w:tc>
          <w:tcPr>
            <w:tcW w:w="5897" w:type="dxa"/>
            <w:gridSpan w:val="2"/>
            <w:shd w:val="clear" w:color="auto" w:fill="FFFFFF"/>
            <w:vAlign w:val="center"/>
          </w:tcPr>
          <w:p w:rsidR="00AC69D8" w:rsidRPr="00BD2337" w:rsidRDefault="00AC69D8" w:rsidP="00BD2337">
            <w:pPr>
              <w:suppressAutoHyphens/>
              <w:spacing w:before="60" w:after="60" w:line="240" w:lineRule="auto"/>
              <w:ind w:right="-1" w:firstLine="0"/>
              <w:jc w:val="left"/>
              <w:rPr>
                <w:sz w:val="20"/>
                <w:szCs w:val="20"/>
                <w:lang w:eastAsia="bg-BG"/>
              </w:rPr>
            </w:pPr>
            <w:r w:rsidRPr="00BD2337">
              <w:rPr>
                <w:sz w:val="20"/>
                <w:szCs w:val="20"/>
                <w:lang w:eastAsia="bg-BG"/>
              </w:rPr>
              <w:t>В срок от 5 години от началото на договора</w:t>
            </w:r>
          </w:p>
        </w:tc>
      </w:tr>
    </w:tbl>
    <w:p w:rsidR="00AC69D8" w:rsidRPr="001A3F35" w:rsidRDefault="00AC69D8" w:rsidP="00BD2337">
      <w:pPr>
        <w:suppressAutoHyphens/>
        <w:spacing w:before="60" w:after="60" w:line="240" w:lineRule="auto"/>
        <w:ind w:right="-1" w:firstLine="0"/>
        <w:rPr>
          <w:b/>
          <w:sz w:val="20"/>
          <w:szCs w:val="20"/>
          <w:u w:val="single"/>
          <w:lang w:eastAsia="ar-SA"/>
        </w:rPr>
      </w:pPr>
    </w:p>
    <w:p w:rsidR="00AC69D8" w:rsidRPr="001A3F35" w:rsidRDefault="00AC69D8" w:rsidP="00BD2337">
      <w:pPr>
        <w:suppressAutoHyphens/>
        <w:spacing w:before="60" w:after="60" w:line="240" w:lineRule="auto"/>
        <w:ind w:right="-1" w:firstLine="0"/>
        <w:rPr>
          <w:b/>
          <w:sz w:val="20"/>
          <w:szCs w:val="20"/>
          <w:u w:val="single"/>
          <w:lang w:eastAsia="ar-SA"/>
        </w:rPr>
      </w:pPr>
    </w:p>
    <w:p w:rsidR="00AC69D8" w:rsidRPr="001A3F35" w:rsidRDefault="00AC69D8" w:rsidP="00BD2337">
      <w:pPr>
        <w:suppressAutoHyphens/>
        <w:spacing w:before="60" w:after="60" w:line="240" w:lineRule="auto"/>
        <w:ind w:right="-1" w:firstLine="0"/>
        <w:rPr>
          <w:sz w:val="20"/>
          <w:szCs w:val="20"/>
          <w:lang w:eastAsia="ar-SA"/>
        </w:rPr>
      </w:pPr>
    </w:p>
    <w:p w:rsidR="00AC69D8" w:rsidRPr="00BD2337" w:rsidRDefault="00AC69D8" w:rsidP="00BD2337">
      <w:pPr>
        <w:suppressAutoHyphens/>
        <w:spacing w:after="120" w:line="240" w:lineRule="auto"/>
        <w:ind w:firstLine="0"/>
        <w:jc w:val="center"/>
        <w:rPr>
          <w:b/>
          <w:sz w:val="28"/>
          <w:szCs w:val="28"/>
          <w:lang w:eastAsia="ar-SA"/>
        </w:rPr>
        <w:sectPr w:rsidR="00AC69D8" w:rsidRPr="00BD2337" w:rsidSect="00583139">
          <w:headerReference w:type="default" r:id="rId7"/>
          <w:pgSz w:w="11906" w:h="16838"/>
          <w:pgMar w:top="1440" w:right="1440" w:bottom="1440" w:left="1440" w:header="708" w:footer="113" w:gutter="0"/>
          <w:cols w:space="708"/>
          <w:titlePg/>
          <w:docGrid w:linePitch="360"/>
        </w:sectPr>
      </w:pPr>
    </w:p>
    <w:p w:rsidR="00AC69D8" w:rsidRPr="00762A13" w:rsidRDefault="00AC69D8" w:rsidP="002A1C9E">
      <w:pPr>
        <w:ind w:hanging="142"/>
        <w:jc w:val="center"/>
        <w:rPr>
          <w:b/>
          <w:color w:val="000000"/>
          <w:szCs w:val="24"/>
          <w:u w:val="single"/>
          <w:lang w:eastAsia="bg-BG"/>
        </w:rPr>
      </w:pPr>
      <w:r w:rsidRPr="00762A13">
        <w:rPr>
          <w:b/>
          <w:color w:val="000000"/>
          <w:szCs w:val="24"/>
          <w:u w:val="single"/>
          <w:lang w:eastAsia="bg-BG"/>
        </w:rPr>
        <w:lastRenderedPageBreak/>
        <w:t xml:space="preserve">Приложение № </w:t>
      </w:r>
      <w:r>
        <w:rPr>
          <w:b/>
          <w:color w:val="000000"/>
          <w:szCs w:val="24"/>
          <w:u w:val="single"/>
          <w:lang w:eastAsia="bg-BG"/>
        </w:rPr>
        <w:t>2</w:t>
      </w:r>
      <w:r w:rsidRPr="00762A13">
        <w:rPr>
          <w:b/>
          <w:color w:val="000000"/>
          <w:szCs w:val="24"/>
          <w:u w:val="single"/>
          <w:lang w:eastAsia="bg-BG"/>
        </w:rPr>
        <w:t xml:space="preserve"> към Допълнителното споразумение № 1</w:t>
      </w:r>
    </w:p>
    <w:p w:rsidR="00AC69D8" w:rsidRPr="008230B7" w:rsidRDefault="00AC69D8" w:rsidP="00BE1D0E">
      <w:pPr>
        <w:widowControl w:val="0"/>
        <w:spacing w:after="0" w:line="240" w:lineRule="auto"/>
        <w:ind w:firstLine="0"/>
        <w:rPr>
          <w:b/>
          <w:color w:val="000000"/>
          <w:szCs w:val="24"/>
          <w:lang w:eastAsia="bg-BG"/>
        </w:rPr>
      </w:pPr>
    </w:p>
    <w:p w:rsidR="00AC69D8" w:rsidRDefault="00AC69D8" w:rsidP="00762A13">
      <w:pPr>
        <w:widowControl w:val="0"/>
        <w:spacing w:after="0" w:line="240" w:lineRule="auto"/>
        <w:ind w:firstLine="0"/>
        <w:jc w:val="center"/>
        <w:rPr>
          <w:b/>
          <w:color w:val="000000"/>
          <w:szCs w:val="24"/>
          <w:lang w:val="ru-RU" w:eastAsia="bg-BG"/>
        </w:rPr>
      </w:pPr>
      <w:r w:rsidRPr="008230B7">
        <w:rPr>
          <w:b/>
          <w:color w:val="000000"/>
          <w:szCs w:val="24"/>
          <w:lang w:eastAsia="bg-BG"/>
        </w:rPr>
        <w:t>ПРИЛОЖЕНИЕ I</w:t>
      </w:r>
      <w:r w:rsidRPr="008230B7">
        <w:rPr>
          <w:b/>
          <w:color w:val="000000"/>
          <w:szCs w:val="24"/>
          <w:lang w:val="en-US" w:eastAsia="bg-BG"/>
        </w:rPr>
        <w:t>X</w:t>
      </w:r>
      <w:r w:rsidRPr="008230B7">
        <w:rPr>
          <w:b/>
          <w:color w:val="000000"/>
          <w:szCs w:val="24"/>
          <w:lang w:eastAsia="bg-BG"/>
        </w:rPr>
        <w:t xml:space="preserve"> </w:t>
      </w:r>
      <w:r w:rsidRPr="00137C9D">
        <w:rPr>
          <w:b/>
          <w:color w:val="000000"/>
          <w:szCs w:val="24"/>
          <w:lang w:eastAsia="bg-BG"/>
        </w:rPr>
        <w:t xml:space="preserve">КЪМ ДОГОВОР ОТ </w:t>
      </w:r>
      <w:r w:rsidRPr="002A1C9E">
        <w:rPr>
          <w:b/>
          <w:color w:val="000000"/>
          <w:szCs w:val="24"/>
          <w:lang w:eastAsia="bg-BG"/>
        </w:rPr>
        <w:t>11.03.2016</w:t>
      </w:r>
      <w:r>
        <w:rPr>
          <w:b/>
          <w:color w:val="000000"/>
          <w:szCs w:val="24"/>
          <w:lang w:eastAsia="bg-BG"/>
        </w:rPr>
        <w:t xml:space="preserve"> Г</w:t>
      </w:r>
      <w:r w:rsidRPr="002A1C9E">
        <w:rPr>
          <w:b/>
          <w:color w:val="000000"/>
          <w:szCs w:val="24"/>
          <w:lang w:eastAsia="bg-BG"/>
        </w:rPr>
        <w:t>.</w:t>
      </w:r>
      <w:r w:rsidRPr="00137C9D">
        <w:rPr>
          <w:b/>
          <w:color w:val="000000"/>
          <w:szCs w:val="24"/>
          <w:lang w:eastAsia="bg-BG"/>
        </w:rPr>
        <w:t xml:space="preserve"> </w:t>
      </w:r>
      <w:r w:rsidRPr="00573232">
        <w:rPr>
          <w:b/>
          <w:color w:val="000000"/>
          <w:szCs w:val="24"/>
          <w:lang w:val="ru-RU" w:eastAsia="bg-BG"/>
        </w:rPr>
        <w:t xml:space="preserve"> </w:t>
      </w:r>
    </w:p>
    <w:p w:rsidR="00AC69D8" w:rsidRPr="008230B7" w:rsidRDefault="00AC69D8" w:rsidP="00762A13">
      <w:pPr>
        <w:widowControl w:val="0"/>
        <w:spacing w:after="0" w:line="240" w:lineRule="auto"/>
        <w:ind w:firstLine="0"/>
        <w:jc w:val="center"/>
        <w:rPr>
          <w:b/>
          <w:color w:val="000000"/>
          <w:szCs w:val="24"/>
          <w:lang w:eastAsia="bg-BG"/>
        </w:rPr>
      </w:pPr>
      <w:r w:rsidRPr="008230B7">
        <w:rPr>
          <w:b/>
          <w:color w:val="000000"/>
          <w:szCs w:val="24"/>
          <w:lang w:eastAsia="bg-BG"/>
        </w:rPr>
        <w:t>ДЕЙНОСТИ, ВКЛЮЧЕНИ В ЗАДЪЛЖИТЕЛНОТО НИВО НА ИНВЕСТИЦИИТЕ</w:t>
      </w:r>
    </w:p>
    <w:p w:rsidR="00AC69D8" w:rsidRPr="00573232" w:rsidRDefault="00AC69D8" w:rsidP="00BE1D0E">
      <w:pPr>
        <w:widowControl w:val="0"/>
        <w:spacing w:after="0" w:line="240" w:lineRule="auto"/>
        <w:ind w:firstLine="0"/>
        <w:rPr>
          <w:b/>
          <w:color w:val="000000"/>
          <w:szCs w:val="24"/>
          <w:lang w:val="ru-RU" w:eastAsia="bg-BG"/>
        </w:rPr>
      </w:pPr>
    </w:p>
    <w:p w:rsidR="00AC69D8" w:rsidRPr="00573232" w:rsidRDefault="00AC69D8" w:rsidP="00BE1D0E">
      <w:pPr>
        <w:widowControl w:val="0"/>
        <w:spacing w:after="0" w:line="240" w:lineRule="auto"/>
        <w:ind w:firstLine="0"/>
        <w:rPr>
          <w:b/>
          <w:color w:val="000000"/>
          <w:szCs w:val="24"/>
          <w:lang w:val="ru-RU" w:eastAsia="bg-BG"/>
        </w:rPr>
      </w:pPr>
    </w:p>
    <w:p w:rsidR="00AC69D8" w:rsidRDefault="00F4676C" w:rsidP="002A1C9E">
      <w:pPr>
        <w:widowControl w:val="0"/>
        <w:spacing w:after="0" w:line="240" w:lineRule="auto"/>
        <w:ind w:firstLine="0"/>
        <w:jc w:val="center"/>
        <w:rPr>
          <w:b/>
          <w:color w:val="000000"/>
          <w:szCs w:val="24"/>
          <w:lang w:val="en-US" w:eastAsia="bg-BG"/>
        </w:rPr>
      </w:pPr>
      <w:r>
        <w:rPr>
          <w:noProof/>
          <w:szCs w:val="24"/>
          <w:lang w:val="en-US"/>
        </w:rPr>
        <w:drawing>
          <wp:inline distT="0" distB="0" distL="0" distR="0">
            <wp:extent cx="884682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6820" cy="838200"/>
                    </a:xfrm>
                    <a:prstGeom prst="rect">
                      <a:avLst/>
                    </a:prstGeom>
                    <a:noFill/>
                    <a:ln>
                      <a:noFill/>
                    </a:ln>
                  </pic:spPr>
                </pic:pic>
              </a:graphicData>
            </a:graphic>
          </wp:inline>
        </w:drawing>
      </w:r>
    </w:p>
    <w:p w:rsidR="00AC69D8" w:rsidRPr="008230B7" w:rsidRDefault="00AC69D8" w:rsidP="00BE1D0E">
      <w:pPr>
        <w:widowControl w:val="0"/>
        <w:spacing w:after="0" w:line="240" w:lineRule="auto"/>
        <w:ind w:firstLine="0"/>
        <w:rPr>
          <w:b/>
          <w:color w:val="000000"/>
          <w:szCs w:val="24"/>
          <w:lang w:val="en-US" w:eastAsia="bg-BG"/>
        </w:rPr>
      </w:pPr>
    </w:p>
    <w:p w:rsidR="00AC69D8" w:rsidRPr="008230B7" w:rsidRDefault="00F4676C" w:rsidP="002A1C9E">
      <w:pPr>
        <w:widowControl w:val="0"/>
        <w:spacing w:after="0" w:line="240" w:lineRule="auto"/>
        <w:ind w:firstLine="0"/>
        <w:jc w:val="center"/>
        <w:rPr>
          <w:b/>
          <w:color w:val="000000"/>
          <w:szCs w:val="24"/>
          <w:lang w:val="en-US" w:eastAsia="bg-BG"/>
        </w:rPr>
      </w:pPr>
      <w:r>
        <w:rPr>
          <w:noProof/>
          <w:szCs w:val="24"/>
          <w:lang w:val="en-US"/>
        </w:rPr>
        <w:drawing>
          <wp:inline distT="0" distB="0" distL="0" distR="0">
            <wp:extent cx="884682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46820" cy="1394460"/>
                    </a:xfrm>
                    <a:prstGeom prst="rect">
                      <a:avLst/>
                    </a:prstGeom>
                    <a:noFill/>
                    <a:ln>
                      <a:noFill/>
                    </a:ln>
                  </pic:spPr>
                </pic:pic>
              </a:graphicData>
            </a:graphic>
          </wp:inline>
        </w:drawing>
      </w:r>
    </w:p>
    <w:p w:rsidR="00AC69D8" w:rsidRPr="008230B7" w:rsidRDefault="00AC69D8" w:rsidP="00BE1D0E">
      <w:pPr>
        <w:widowControl w:val="0"/>
        <w:spacing w:after="0" w:line="240" w:lineRule="auto"/>
        <w:ind w:right="520" w:firstLine="0"/>
        <w:rPr>
          <w:b/>
          <w:bCs/>
          <w:szCs w:val="24"/>
          <w:lang w:val="en-US" w:eastAsia="bg-BG"/>
        </w:rPr>
      </w:pPr>
    </w:p>
    <w:p w:rsidR="00AC69D8" w:rsidRPr="008230B7" w:rsidRDefault="00F4676C" w:rsidP="002A1C9E">
      <w:pPr>
        <w:widowControl w:val="0"/>
        <w:spacing w:after="0" w:line="240" w:lineRule="auto"/>
        <w:ind w:right="520" w:firstLine="567"/>
        <w:jc w:val="center"/>
        <w:rPr>
          <w:b/>
          <w:bCs/>
          <w:szCs w:val="24"/>
          <w:lang w:val="en-US" w:eastAsia="bg-BG"/>
        </w:rPr>
      </w:pPr>
      <w:r>
        <w:rPr>
          <w:noProof/>
          <w:szCs w:val="24"/>
          <w:lang w:val="en-US"/>
        </w:rPr>
        <w:drawing>
          <wp:inline distT="0" distB="0" distL="0" distR="0">
            <wp:extent cx="8846820" cy="1508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46820" cy="1508760"/>
                    </a:xfrm>
                    <a:prstGeom prst="rect">
                      <a:avLst/>
                    </a:prstGeom>
                    <a:noFill/>
                    <a:ln>
                      <a:noFill/>
                    </a:ln>
                  </pic:spPr>
                </pic:pic>
              </a:graphicData>
            </a:graphic>
          </wp:inline>
        </w:drawing>
      </w:r>
    </w:p>
    <w:p w:rsidR="00AC69D8" w:rsidRPr="008230B7" w:rsidRDefault="00AC69D8" w:rsidP="00BE1D0E">
      <w:pPr>
        <w:widowControl w:val="0"/>
        <w:spacing w:after="0" w:line="240" w:lineRule="auto"/>
        <w:ind w:right="520" w:firstLine="0"/>
        <w:rPr>
          <w:b/>
          <w:bCs/>
          <w:szCs w:val="24"/>
          <w:lang w:val="en-US" w:eastAsia="bg-BG"/>
        </w:rPr>
      </w:pPr>
    </w:p>
    <w:p w:rsidR="00AC69D8" w:rsidRPr="008230B7" w:rsidRDefault="00F4676C" w:rsidP="002A1C9E">
      <w:pPr>
        <w:widowControl w:val="0"/>
        <w:tabs>
          <w:tab w:val="left" w:pos="1665"/>
        </w:tabs>
        <w:spacing w:after="0" w:line="240" w:lineRule="auto"/>
        <w:ind w:right="520" w:firstLine="567"/>
        <w:jc w:val="center"/>
        <w:rPr>
          <w:b/>
          <w:bCs/>
          <w:szCs w:val="24"/>
          <w:lang w:eastAsia="bg-BG"/>
        </w:rPr>
      </w:pPr>
      <w:r>
        <w:rPr>
          <w:noProof/>
          <w:szCs w:val="24"/>
          <w:lang w:val="en-US"/>
        </w:rPr>
        <w:drawing>
          <wp:inline distT="0" distB="0" distL="0" distR="0">
            <wp:extent cx="8846820" cy="150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46820" cy="1508760"/>
                    </a:xfrm>
                    <a:prstGeom prst="rect">
                      <a:avLst/>
                    </a:prstGeom>
                    <a:noFill/>
                    <a:ln>
                      <a:noFill/>
                    </a:ln>
                  </pic:spPr>
                </pic:pic>
              </a:graphicData>
            </a:graphic>
          </wp:inline>
        </w:drawing>
      </w:r>
    </w:p>
    <w:p w:rsidR="00AC69D8" w:rsidRPr="008230B7" w:rsidRDefault="00AC69D8" w:rsidP="00BE1D0E">
      <w:pPr>
        <w:widowControl w:val="0"/>
        <w:spacing w:after="0" w:line="240" w:lineRule="auto"/>
        <w:ind w:right="520" w:firstLine="0"/>
        <w:rPr>
          <w:b/>
          <w:bCs/>
          <w:szCs w:val="24"/>
          <w:lang w:eastAsia="bg-BG"/>
        </w:rPr>
      </w:pPr>
    </w:p>
    <w:p w:rsidR="00AC69D8" w:rsidRPr="008230B7" w:rsidRDefault="00AC69D8" w:rsidP="00BE1D0E">
      <w:pPr>
        <w:widowControl w:val="0"/>
        <w:spacing w:after="0" w:line="240" w:lineRule="auto"/>
        <w:ind w:right="520" w:firstLine="0"/>
        <w:rPr>
          <w:b/>
          <w:bCs/>
          <w:szCs w:val="24"/>
          <w:lang w:eastAsia="bg-BG"/>
        </w:rPr>
      </w:pPr>
    </w:p>
    <w:p w:rsidR="00AC69D8" w:rsidRPr="008230B7" w:rsidRDefault="00F4676C" w:rsidP="002A1C9E">
      <w:pPr>
        <w:widowControl w:val="0"/>
        <w:spacing w:after="0" w:line="240" w:lineRule="auto"/>
        <w:ind w:left="20" w:right="520" w:firstLine="406"/>
        <w:jc w:val="center"/>
        <w:rPr>
          <w:b/>
          <w:bCs/>
          <w:szCs w:val="24"/>
          <w:lang w:eastAsia="bg-BG"/>
        </w:rPr>
      </w:pPr>
      <w:r>
        <w:rPr>
          <w:noProof/>
          <w:szCs w:val="24"/>
          <w:lang w:val="en-US"/>
        </w:rPr>
        <w:drawing>
          <wp:inline distT="0" distB="0" distL="0" distR="0">
            <wp:extent cx="8846820" cy="1508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6820" cy="1508760"/>
                    </a:xfrm>
                    <a:prstGeom prst="rect">
                      <a:avLst/>
                    </a:prstGeom>
                    <a:noFill/>
                    <a:ln>
                      <a:noFill/>
                    </a:ln>
                  </pic:spPr>
                </pic:pic>
              </a:graphicData>
            </a:graphic>
          </wp:inline>
        </w:drawing>
      </w:r>
    </w:p>
    <w:p w:rsidR="00AC69D8" w:rsidRPr="008230B7" w:rsidRDefault="00AC69D8" w:rsidP="00BE1D0E">
      <w:pPr>
        <w:spacing w:after="0" w:line="240" w:lineRule="auto"/>
        <w:ind w:firstLine="0"/>
        <w:rPr>
          <w:color w:val="FF0000"/>
          <w:szCs w:val="24"/>
        </w:rPr>
      </w:pPr>
    </w:p>
    <w:sectPr w:rsidR="00AC69D8" w:rsidRPr="008230B7" w:rsidSect="009662C2">
      <w:headerReference w:type="default" r:id="rId13"/>
      <w:footerReference w:type="default" r:id="rId14"/>
      <w:pgSz w:w="16838" w:h="11909" w:orient="landscape"/>
      <w:pgMar w:top="1195" w:right="850" w:bottom="1138" w:left="562" w:header="0" w:footer="662"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D5" w:rsidRDefault="00EE05D5">
      <w:pPr>
        <w:spacing w:after="0" w:line="240" w:lineRule="auto"/>
      </w:pPr>
      <w:r>
        <w:separator/>
      </w:r>
    </w:p>
  </w:endnote>
  <w:endnote w:type="continuationSeparator" w:id="0">
    <w:p w:rsidR="00EE05D5" w:rsidRDefault="00EE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D8" w:rsidRPr="00485680" w:rsidRDefault="00AC69D8" w:rsidP="00900191">
    <w:pPr>
      <w:pStyle w:val="Footer"/>
      <w:spacing w:before="240" w:after="240"/>
      <w:jc w:val="center"/>
      <w:rPr>
        <w:rFonts w:ascii="Times New Roman" w:hAnsi="Times New Roman"/>
        <w:i/>
        <w:color w:val="1F3864"/>
        <w:sz w:val="20"/>
        <w:szCs w:val="20"/>
      </w:rPr>
    </w:pPr>
    <w:r w:rsidRPr="00485680">
      <w:rPr>
        <w:rFonts w:ascii="Times New Roman" w:hAnsi="Times New Roman"/>
        <w:i/>
        <w:color w:val="1F3864"/>
        <w:sz w:val="20"/>
        <w:szCs w:val="20"/>
      </w:rPr>
      <w:t xml:space="preserve">Проект: „Подпомагане на ефективността, управлението и институционалния капацитет в отрасъл ВиК“ по Оперативна програма „Околна среда 2014 – 2020 </w:t>
    </w:r>
    <w:r w:rsidRPr="00485680">
      <w:rPr>
        <w:rFonts w:ascii="Times New Roman" w:hAnsi="Times New Roman"/>
        <w:i/>
        <w:color w:val="1F3864"/>
        <w:sz w:val="20"/>
        <w:szCs w:val="20"/>
      </w:rPr>
      <w:t>г.“, съ-финансирана от Европейския съюз чрез Европейския фонд за регионално развитие и Кохезионния фонд</w:t>
    </w:r>
  </w:p>
  <w:p w:rsidR="00AC69D8" w:rsidRPr="001A2C36" w:rsidRDefault="00AC69D8">
    <w:pPr>
      <w:pStyle w:val="Footer"/>
      <w:jc w:val="right"/>
      <w:rPr>
        <w:rFonts w:ascii="Times New Roman" w:hAnsi="Times New Roman"/>
      </w:rPr>
    </w:pPr>
    <w:r w:rsidRPr="001A2C36">
      <w:rPr>
        <w:rFonts w:ascii="Times New Roman" w:hAnsi="Times New Roman"/>
      </w:rPr>
      <w:fldChar w:fldCharType="begin"/>
    </w:r>
    <w:r w:rsidRPr="001A2C36">
      <w:rPr>
        <w:rFonts w:ascii="Times New Roman" w:hAnsi="Times New Roman"/>
      </w:rPr>
      <w:instrText>PAGE   \* MERGEFORMAT</w:instrText>
    </w:r>
    <w:r w:rsidRPr="001A2C36">
      <w:rPr>
        <w:rFonts w:ascii="Times New Roman" w:hAnsi="Times New Roman"/>
      </w:rPr>
      <w:fldChar w:fldCharType="separate"/>
    </w:r>
    <w:r w:rsidR="00EF4273">
      <w:rPr>
        <w:rFonts w:ascii="Times New Roman" w:hAnsi="Times New Roman"/>
        <w:noProof/>
      </w:rPr>
      <w:t>9</w:t>
    </w:r>
    <w:r w:rsidRPr="001A2C36">
      <w:rPr>
        <w:rFonts w:ascii="Times New Roman" w:hAnsi="Times New Roman"/>
      </w:rPr>
      <w:fldChar w:fldCharType="end"/>
    </w:r>
  </w:p>
  <w:p w:rsidR="00AC69D8" w:rsidRDefault="00AC69D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D5" w:rsidRDefault="00EE05D5">
      <w:pPr>
        <w:spacing w:after="0" w:line="240" w:lineRule="auto"/>
      </w:pPr>
      <w:r>
        <w:separator/>
      </w:r>
    </w:p>
  </w:footnote>
  <w:footnote w:type="continuationSeparator" w:id="0">
    <w:p w:rsidR="00EE05D5" w:rsidRDefault="00EE0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D8" w:rsidRPr="00D3371C" w:rsidRDefault="00AC69D8" w:rsidP="00D3371C">
    <w:pPr>
      <w:tabs>
        <w:tab w:val="center" w:pos="4536"/>
        <w:tab w:val="right" w:pos="9072"/>
      </w:tabs>
      <w:suppressAutoHyphens/>
      <w:spacing w:after="0" w:line="240" w:lineRule="auto"/>
      <w:ind w:firstLine="0"/>
      <w:jc w:val="center"/>
      <w:rPr>
        <w:b/>
        <w:sz w:val="16"/>
        <w:szCs w:val="16"/>
        <w:lang w:eastAsia="ar-SA"/>
      </w:rPr>
    </w:pPr>
    <w:r w:rsidRPr="00D3371C">
      <w:rPr>
        <w:b/>
        <w:sz w:val="16"/>
        <w:szCs w:val="16"/>
        <w:lang w:eastAsia="ar-SA"/>
      </w:rPr>
      <w:t>ДОПЪЛНИТЕЛНО СПОРАЗУМЕНИЕ КЪМ ДОГОВОР ЗА СТОПАНИСВАНЕ, ПОДДЪРЖАНЕ И ЕКСПЛОАТАЦИЯ НА ВИК СИСТЕМИТЕ И СЪОРЪЖЕНИЯТА И ПРЕДОСТАВЯНЕ НА ВОДОСНАБДИТЕЛНИ И КАНАЛИЗАЦИОННИ УСЛУГИ</w:t>
    </w:r>
  </w:p>
  <w:p w:rsidR="00AC69D8" w:rsidRDefault="00AC6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D8" w:rsidRDefault="00AC69D8">
    <w:pPr>
      <w:pStyle w:val="Header"/>
    </w:pPr>
    <w:r>
      <w:tab/>
    </w:r>
    <w:r>
      <w:tab/>
    </w:r>
  </w:p>
  <w:p w:rsidR="00AC69D8" w:rsidRDefault="00AC69D8" w:rsidP="00CD7053">
    <w:pPr>
      <w:pStyle w:val="Header"/>
      <w:jc w:val="center"/>
    </w:pPr>
    <w:r>
      <w:tab/>
    </w:r>
  </w:p>
  <w:p w:rsidR="00AC69D8" w:rsidRPr="00CD7053" w:rsidRDefault="00AC69D8" w:rsidP="00CD7053">
    <w:pPr>
      <w:pStyle w:val="Header"/>
      <w:jc w:val="center"/>
      <w:rPr>
        <w:b/>
        <w:sz w:val="16"/>
        <w:szCs w:val="16"/>
        <w:lang w:eastAsia="ar-SA"/>
      </w:rPr>
    </w:pPr>
    <w:r w:rsidRPr="00CD7053">
      <w:rPr>
        <w:b/>
        <w:sz w:val="16"/>
        <w:szCs w:val="16"/>
        <w:lang w:eastAsia="ar-SA"/>
      </w:rPr>
      <w:t>ДОПЪЛНИТЕЛНО СПОРАЗУМЕНИЕ КЪМ ДОГОВОР ЗА СТОПАНИСВАНЕ, ПОДДЪРЖАНЕ И ЕКСПЛОАТАЦИЯ НА ВИК СИСТЕМИТЕ И СЪОРЪЖЕНИЯТА И ПРЕДОСТАВЯНЕ НА ВОДОСНАБДИТЕЛНИ И КАНАЛИЗАЦИОННИ УСЛУГИ</w:t>
    </w:r>
  </w:p>
  <w:p w:rsidR="00AC69D8" w:rsidRPr="00693C32" w:rsidRDefault="00AC69D8">
    <w:pPr>
      <w:pStyle w:val="Header"/>
      <w:rPr>
        <w:rFonts w:ascii="Times New Roman" w:hAnsi="Times New Roman"/>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0BA"/>
    <w:multiLevelType w:val="multilevel"/>
    <w:tmpl w:val="1C08B72E"/>
    <w:lvl w:ilvl="0">
      <w:start w:val="3"/>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7CE09D1"/>
    <w:multiLevelType w:val="hybridMultilevel"/>
    <w:tmpl w:val="0C64A6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901AEF"/>
    <w:multiLevelType w:val="hybridMultilevel"/>
    <w:tmpl w:val="14763A5C"/>
    <w:lvl w:ilvl="0" w:tplc="4E0444AE">
      <w:numFmt w:val="bullet"/>
      <w:lvlText w:val="-"/>
      <w:lvlJc w:val="left"/>
      <w:pPr>
        <w:ind w:left="720" w:hanging="360"/>
      </w:pPr>
      <w:rPr>
        <w:rFonts w:ascii="Times New Roman" w:eastAsia="Times New Roman" w:hAnsi="Times New Roman"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6256"/>
    <w:multiLevelType w:val="hybridMultilevel"/>
    <w:tmpl w:val="A240187C"/>
    <w:lvl w:ilvl="0" w:tplc="E6B42BB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48947C9"/>
    <w:multiLevelType w:val="multilevel"/>
    <w:tmpl w:val="3B023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6DA0151"/>
    <w:multiLevelType w:val="hybridMultilevel"/>
    <w:tmpl w:val="665EBA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22616E"/>
    <w:multiLevelType w:val="multilevel"/>
    <w:tmpl w:val="2B3C2A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201723F"/>
    <w:multiLevelType w:val="hybridMultilevel"/>
    <w:tmpl w:val="FFAC3000"/>
    <w:lvl w:ilvl="0" w:tplc="79D0B4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5CD514E"/>
    <w:multiLevelType w:val="hybridMultilevel"/>
    <w:tmpl w:val="7F16FAEC"/>
    <w:lvl w:ilvl="0" w:tplc="72FCB68A">
      <w:start w:val="1"/>
      <w:numFmt w:val="decimal"/>
      <w:lvlText w:val="(%1)"/>
      <w:lvlJc w:val="left"/>
      <w:pPr>
        <w:ind w:left="1080" w:hanging="720"/>
      </w:pPr>
      <w:rPr>
        <w:rFonts w:ascii="Times New Roman" w:hAnsi="Times New Roman"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5C307333"/>
    <w:multiLevelType w:val="hybridMultilevel"/>
    <w:tmpl w:val="63284C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ED73244"/>
    <w:multiLevelType w:val="multilevel"/>
    <w:tmpl w:val="29CA9322"/>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BE048E1"/>
    <w:multiLevelType w:val="hybridMultilevel"/>
    <w:tmpl w:val="83F258A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E41463E"/>
    <w:multiLevelType w:val="hybridMultilevel"/>
    <w:tmpl w:val="CE3E9536"/>
    <w:lvl w:ilvl="0" w:tplc="0409000F">
      <w:start w:val="1"/>
      <w:numFmt w:val="decimal"/>
      <w:lvlText w:val="%1."/>
      <w:lvlJc w:val="left"/>
      <w:pPr>
        <w:ind w:left="9433" w:hanging="360"/>
      </w:pPr>
      <w:rPr>
        <w:rFonts w:cs="Times New Roman" w:hint="default"/>
      </w:rPr>
    </w:lvl>
    <w:lvl w:ilvl="1" w:tplc="04090019" w:tentative="1">
      <w:start w:val="1"/>
      <w:numFmt w:val="lowerLetter"/>
      <w:lvlText w:val="%2."/>
      <w:lvlJc w:val="left"/>
      <w:pPr>
        <w:ind w:left="10153" w:hanging="360"/>
      </w:pPr>
      <w:rPr>
        <w:rFonts w:cs="Times New Roman"/>
      </w:rPr>
    </w:lvl>
    <w:lvl w:ilvl="2" w:tplc="0409001B" w:tentative="1">
      <w:start w:val="1"/>
      <w:numFmt w:val="lowerRoman"/>
      <w:lvlText w:val="%3."/>
      <w:lvlJc w:val="right"/>
      <w:pPr>
        <w:ind w:left="10873" w:hanging="180"/>
      </w:pPr>
      <w:rPr>
        <w:rFonts w:cs="Times New Roman"/>
      </w:rPr>
    </w:lvl>
    <w:lvl w:ilvl="3" w:tplc="0409000F" w:tentative="1">
      <w:start w:val="1"/>
      <w:numFmt w:val="decimal"/>
      <w:lvlText w:val="%4."/>
      <w:lvlJc w:val="left"/>
      <w:pPr>
        <w:ind w:left="11593" w:hanging="360"/>
      </w:pPr>
      <w:rPr>
        <w:rFonts w:cs="Times New Roman"/>
      </w:rPr>
    </w:lvl>
    <w:lvl w:ilvl="4" w:tplc="04090019" w:tentative="1">
      <w:start w:val="1"/>
      <w:numFmt w:val="lowerLetter"/>
      <w:lvlText w:val="%5."/>
      <w:lvlJc w:val="left"/>
      <w:pPr>
        <w:ind w:left="12313" w:hanging="360"/>
      </w:pPr>
      <w:rPr>
        <w:rFonts w:cs="Times New Roman"/>
      </w:rPr>
    </w:lvl>
    <w:lvl w:ilvl="5" w:tplc="0409001B" w:tentative="1">
      <w:start w:val="1"/>
      <w:numFmt w:val="lowerRoman"/>
      <w:lvlText w:val="%6."/>
      <w:lvlJc w:val="right"/>
      <w:pPr>
        <w:ind w:left="13033" w:hanging="180"/>
      </w:pPr>
      <w:rPr>
        <w:rFonts w:cs="Times New Roman"/>
      </w:rPr>
    </w:lvl>
    <w:lvl w:ilvl="6" w:tplc="0409000F" w:tentative="1">
      <w:start w:val="1"/>
      <w:numFmt w:val="decimal"/>
      <w:lvlText w:val="%7."/>
      <w:lvlJc w:val="left"/>
      <w:pPr>
        <w:ind w:left="13753" w:hanging="360"/>
      </w:pPr>
      <w:rPr>
        <w:rFonts w:cs="Times New Roman"/>
      </w:rPr>
    </w:lvl>
    <w:lvl w:ilvl="7" w:tplc="04090019" w:tentative="1">
      <w:start w:val="1"/>
      <w:numFmt w:val="lowerLetter"/>
      <w:lvlText w:val="%8."/>
      <w:lvlJc w:val="left"/>
      <w:pPr>
        <w:ind w:left="14473" w:hanging="360"/>
      </w:pPr>
      <w:rPr>
        <w:rFonts w:cs="Times New Roman"/>
      </w:rPr>
    </w:lvl>
    <w:lvl w:ilvl="8" w:tplc="0409001B" w:tentative="1">
      <w:start w:val="1"/>
      <w:numFmt w:val="lowerRoman"/>
      <w:lvlText w:val="%9."/>
      <w:lvlJc w:val="right"/>
      <w:pPr>
        <w:ind w:left="15193" w:hanging="180"/>
      </w:pPr>
      <w:rPr>
        <w:rFonts w:cs="Times New Roman"/>
      </w:rPr>
    </w:lvl>
  </w:abstractNum>
  <w:num w:numId="1">
    <w:abstractNumId w:val="8"/>
  </w:num>
  <w:num w:numId="2">
    <w:abstractNumId w:val="2"/>
  </w:num>
  <w:num w:numId="3">
    <w:abstractNumId w:val="6"/>
  </w:num>
  <w:num w:numId="4">
    <w:abstractNumId w:val="10"/>
  </w:num>
  <w:num w:numId="5">
    <w:abstractNumId w:val="11"/>
  </w:num>
  <w:num w:numId="6">
    <w:abstractNumId w:val="4"/>
  </w:num>
  <w:num w:numId="7">
    <w:abstractNumId w:val="1"/>
  </w:num>
  <w:num w:numId="8">
    <w:abstractNumId w:val="9"/>
  </w:num>
  <w:num w:numId="9">
    <w:abstractNumId w:val="5"/>
  </w:num>
  <w:num w:numId="10">
    <w:abstractNumId w:val="7"/>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90"/>
    <w:rsid w:val="000026AF"/>
    <w:rsid w:val="00004997"/>
    <w:rsid w:val="00004E7F"/>
    <w:rsid w:val="00012F05"/>
    <w:rsid w:val="00013152"/>
    <w:rsid w:val="00014192"/>
    <w:rsid w:val="00017EF9"/>
    <w:rsid w:val="00021EE1"/>
    <w:rsid w:val="0002207E"/>
    <w:rsid w:val="000308CF"/>
    <w:rsid w:val="00031672"/>
    <w:rsid w:val="00035442"/>
    <w:rsid w:val="000360FC"/>
    <w:rsid w:val="00042496"/>
    <w:rsid w:val="00045100"/>
    <w:rsid w:val="00047F6A"/>
    <w:rsid w:val="0005112E"/>
    <w:rsid w:val="00054770"/>
    <w:rsid w:val="0006306B"/>
    <w:rsid w:val="000716E3"/>
    <w:rsid w:val="00081282"/>
    <w:rsid w:val="00082314"/>
    <w:rsid w:val="00085005"/>
    <w:rsid w:val="00085B04"/>
    <w:rsid w:val="000869C9"/>
    <w:rsid w:val="000905C2"/>
    <w:rsid w:val="0009087D"/>
    <w:rsid w:val="000915C9"/>
    <w:rsid w:val="00097479"/>
    <w:rsid w:val="000A18FC"/>
    <w:rsid w:val="000B0684"/>
    <w:rsid w:val="000B28B1"/>
    <w:rsid w:val="000C24FD"/>
    <w:rsid w:val="000D11A1"/>
    <w:rsid w:val="000D72D2"/>
    <w:rsid w:val="000D7469"/>
    <w:rsid w:val="000D7BD7"/>
    <w:rsid w:val="000F3E53"/>
    <w:rsid w:val="000F7541"/>
    <w:rsid w:val="00110C33"/>
    <w:rsid w:val="00114201"/>
    <w:rsid w:val="00114CD9"/>
    <w:rsid w:val="00116E74"/>
    <w:rsid w:val="00120B74"/>
    <w:rsid w:val="0012281F"/>
    <w:rsid w:val="001241A7"/>
    <w:rsid w:val="00126F0F"/>
    <w:rsid w:val="00134AF0"/>
    <w:rsid w:val="00137C9D"/>
    <w:rsid w:val="001401B1"/>
    <w:rsid w:val="00142497"/>
    <w:rsid w:val="00152BC7"/>
    <w:rsid w:val="0015608D"/>
    <w:rsid w:val="00164810"/>
    <w:rsid w:val="00165BB1"/>
    <w:rsid w:val="00174F90"/>
    <w:rsid w:val="001768DE"/>
    <w:rsid w:val="00186A86"/>
    <w:rsid w:val="00187D08"/>
    <w:rsid w:val="00191F0A"/>
    <w:rsid w:val="00195AB8"/>
    <w:rsid w:val="001A12ED"/>
    <w:rsid w:val="001A2C36"/>
    <w:rsid w:val="001A3F35"/>
    <w:rsid w:val="001A4049"/>
    <w:rsid w:val="001B2A5E"/>
    <w:rsid w:val="001C0E4C"/>
    <w:rsid w:val="001D52E1"/>
    <w:rsid w:val="001D5E84"/>
    <w:rsid w:val="001D6DA0"/>
    <w:rsid w:val="001F7B2A"/>
    <w:rsid w:val="002015B2"/>
    <w:rsid w:val="00203BAD"/>
    <w:rsid w:val="00214190"/>
    <w:rsid w:val="00215B69"/>
    <w:rsid w:val="00223A5B"/>
    <w:rsid w:val="00225351"/>
    <w:rsid w:val="002256D5"/>
    <w:rsid w:val="00231928"/>
    <w:rsid w:val="00234EC0"/>
    <w:rsid w:val="0024198D"/>
    <w:rsid w:val="002419AA"/>
    <w:rsid w:val="00245FDD"/>
    <w:rsid w:val="0025043D"/>
    <w:rsid w:val="00251117"/>
    <w:rsid w:val="002653B4"/>
    <w:rsid w:val="002671D5"/>
    <w:rsid w:val="00271273"/>
    <w:rsid w:val="00274228"/>
    <w:rsid w:val="00275DAC"/>
    <w:rsid w:val="002765F5"/>
    <w:rsid w:val="002840E6"/>
    <w:rsid w:val="00287A60"/>
    <w:rsid w:val="00293A1E"/>
    <w:rsid w:val="00294C31"/>
    <w:rsid w:val="00296381"/>
    <w:rsid w:val="002A1C9E"/>
    <w:rsid w:val="002A3430"/>
    <w:rsid w:val="002A4D23"/>
    <w:rsid w:val="002A5210"/>
    <w:rsid w:val="002A52FD"/>
    <w:rsid w:val="002B6CAC"/>
    <w:rsid w:val="002C0C06"/>
    <w:rsid w:val="002D065F"/>
    <w:rsid w:val="002D6554"/>
    <w:rsid w:val="002F1B00"/>
    <w:rsid w:val="002F352C"/>
    <w:rsid w:val="002F6B79"/>
    <w:rsid w:val="00300FFE"/>
    <w:rsid w:val="00302874"/>
    <w:rsid w:val="0030445A"/>
    <w:rsid w:val="00311232"/>
    <w:rsid w:val="0031509A"/>
    <w:rsid w:val="00320920"/>
    <w:rsid w:val="00322050"/>
    <w:rsid w:val="0032536A"/>
    <w:rsid w:val="003308A3"/>
    <w:rsid w:val="00345030"/>
    <w:rsid w:val="0035196A"/>
    <w:rsid w:val="0035339F"/>
    <w:rsid w:val="003541DE"/>
    <w:rsid w:val="00355BEE"/>
    <w:rsid w:val="00355DFA"/>
    <w:rsid w:val="00364A24"/>
    <w:rsid w:val="003707AC"/>
    <w:rsid w:val="00376248"/>
    <w:rsid w:val="0038256C"/>
    <w:rsid w:val="00382C06"/>
    <w:rsid w:val="00384C5D"/>
    <w:rsid w:val="00392F73"/>
    <w:rsid w:val="00393440"/>
    <w:rsid w:val="00393CEB"/>
    <w:rsid w:val="003954F3"/>
    <w:rsid w:val="003A7F28"/>
    <w:rsid w:val="003B345D"/>
    <w:rsid w:val="003B3DD3"/>
    <w:rsid w:val="003B45EB"/>
    <w:rsid w:val="003B7B4B"/>
    <w:rsid w:val="003C1653"/>
    <w:rsid w:val="003C3890"/>
    <w:rsid w:val="003C4988"/>
    <w:rsid w:val="003C685F"/>
    <w:rsid w:val="003D00AE"/>
    <w:rsid w:val="003D6E4E"/>
    <w:rsid w:val="003E6FF8"/>
    <w:rsid w:val="003E709F"/>
    <w:rsid w:val="003E7CCC"/>
    <w:rsid w:val="003F1303"/>
    <w:rsid w:val="003F4E2B"/>
    <w:rsid w:val="00400C2A"/>
    <w:rsid w:val="00412C67"/>
    <w:rsid w:val="004131A7"/>
    <w:rsid w:val="004132F7"/>
    <w:rsid w:val="0041353A"/>
    <w:rsid w:val="004150AB"/>
    <w:rsid w:val="00416190"/>
    <w:rsid w:val="00416E47"/>
    <w:rsid w:val="0042071E"/>
    <w:rsid w:val="00420FDB"/>
    <w:rsid w:val="00422B4E"/>
    <w:rsid w:val="00423206"/>
    <w:rsid w:val="00430055"/>
    <w:rsid w:val="004315FC"/>
    <w:rsid w:val="00432076"/>
    <w:rsid w:val="00442448"/>
    <w:rsid w:val="004442BC"/>
    <w:rsid w:val="00445029"/>
    <w:rsid w:val="00447B59"/>
    <w:rsid w:val="00454768"/>
    <w:rsid w:val="00460802"/>
    <w:rsid w:val="00461AF3"/>
    <w:rsid w:val="00461D00"/>
    <w:rsid w:val="00465F4E"/>
    <w:rsid w:val="0046607E"/>
    <w:rsid w:val="00473338"/>
    <w:rsid w:val="00474B4A"/>
    <w:rsid w:val="00485680"/>
    <w:rsid w:val="00486737"/>
    <w:rsid w:val="004910E5"/>
    <w:rsid w:val="00493645"/>
    <w:rsid w:val="00495B36"/>
    <w:rsid w:val="00496D78"/>
    <w:rsid w:val="00496F57"/>
    <w:rsid w:val="004A0565"/>
    <w:rsid w:val="004A2CDD"/>
    <w:rsid w:val="004A48F9"/>
    <w:rsid w:val="004A5CC0"/>
    <w:rsid w:val="004A6D4B"/>
    <w:rsid w:val="004A7FBB"/>
    <w:rsid w:val="004B4702"/>
    <w:rsid w:val="004C2024"/>
    <w:rsid w:val="004C26BB"/>
    <w:rsid w:val="004C4D68"/>
    <w:rsid w:val="004D07F6"/>
    <w:rsid w:val="004D2015"/>
    <w:rsid w:val="004D2FD5"/>
    <w:rsid w:val="004D3430"/>
    <w:rsid w:val="004D4C78"/>
    <w:rsid w:val="004D7E94"/>
    <w:rsid w:val="004E243A"/>
    <w:rsid w:val="004E2F5E"/>
    <w:rsid w:val="004E500E"/>
    <w:rsid w:val="004E644E"/>
    <w:rsid w:val="004F132B"/>
    <w:rsid w:val="004F33A0"/>
    <w:rsid w:val="004F457C"/>
    <w:rsid w:val="004F72D8"/>
    <w:rsid w:val="005037B9"/>
    <w:rsid w:val="0050737B"/>
    <w:rsid w:val="005119C1"/>
    <w:rsid w:val="0052234B"/>
    <w:rsid w:val="00522F24"/>
    <w:rsid w:val="00525DDD"/>
    <w:rsid w:val="00530316"/>
    <w:rsid w:val="00535173"/>
    <w:rsid w:val="00536E55"/>
    <w:rsid w:val="00547049"/>
    <w:rsid w:val="0055507E"/>
    <w:rsid w:val="0056334D"/>
    <w:rsid w:val="005665FE"/>
    <w:rsid w:val="00573232"/>
    <w:rsid w:val="0057481F"/>
    <w:rsid w:val="0057625A"/>
    <w:rsid w:val="005767DC"/>
    <w:rsid w:val="00583139"/>
    <w:rsid w:val="005834A6"/>
    <w:rsid w:val="0058505C"/>
    <w:rsid w:val="005857B0"/>
    <w:rsid w:val="00586E8F"/>
    <w:rsid w:val="005902D2"/>
    <w:rsid w:val="00592BB5"/>
    <w:rsid w:val="005A40B6"/>
    <w:rsid w:val="005A6586"/>
    <w:rsid w:val="005B1D3D"/>
    <w:rsid w:val="005B2A66"/>
    <w:rsid w:val="005C3824"/>
    <w:rsid w:val="005C4D8B"/>
    <w:rsid w:val="005D25F8"/>
    <w:rsid w:val="005D4384"/>
    <w:rsid w:val="005D53C4"/>
    <w:rsid w:val="005D5834"/>
    <w:rsid w:val="005D799D"/>
    <w:rsid w:val="005D7C39"/>
    <w:rsid w:val="005E526E"/>
    <w:rsid w:val="005E68C0"/>
    <w:rsid w:val="005F2205"/>
    <w:rsid w:val="005F60A2"/>
    <w:rsid w:val="005F702E"/>
    <w:rsid w:val="006012B2"/>
    <w:rsid w:val="00605C75"/>
    <w:rsid w:val="00607967"/>
    <w:rsid w:val="0061384A"/>
    <w:rsid w:val="00621BCC"/>
    <w:rsid w:val="006251D5"/>
    <w:rsid w:val="006263D2"/>
    <w:rsid w:val="00633D18"/>
    <w:rsid w:val="00635AD8"/>
    <w:rsid w:val="006365C9"/>
    <w:rsid w:val="00640128"/>
    <w:rsid w:val="0064712D"/>
    <w:rsid w:val="00653EE8"/>
    <w:rsid w:val="00657906"/>
    <w:rsid w:val="00657C7B"/>
    <w:rsid w:val="006674A2"/>
    <w:rsid w:val="006837D0"/>
    <w:rsid w:val="00685994"/>
    <w:rsid w:val="006861FE"/>
    <w:rsid w:val="00693C32"/>
    <w:rsid w:val="00694816"/>
    <w:rsid w:val="006A1F8B"/>
    <w:rsid w:val="006B0370"/>
    <w:rsid w:val="006B1CA0"/>
    <w:rsid w:val="006C3F2F"/>
    <w:rsid w:val="006D544B"/>
    <w:rsid w:val="006D5C30"/>
    <w:rsid w:val="006D6B5D"/>
    <w:rsid w:val="006E109D"/>
    <w:rsid w:val="006E21EC"/>
    <w:rsid w:val="006E37DE"/>
    <w:rsid w:val="006E58F2"/>
    <w:rsid w:val="006F08DA"/>
    <w:rsid w:val="006F0DB2"/>
    <w:rsid w:val="006F2271"/>
    <w:rsid w:val="00703027"/>
    <w:rsid w:val="00703B6F"/>
    <w:rsid w:val="00704135"/>
    <w:rsid w:val="0071025F"/>
    <w:rsid w:val="00712408"/>
    <w:rsid w:val="007168FA"/>
    <w:rsid w:val="00720418"/>
    <w:rsid w:val="007248F7"/>
    <w:rsid w:val="00726F74"/>
    <w:rsid w:val="0072718F"/>
    <w:rsid w:val="00730AE4"/>
    <w:rsid w:val="007338F0"/>
    <w:rsid w:val="007442B2"/>
    <w:rsid w:val="00744499"/>
    <w:rsid w:val="00751B68"/>
    <w:rsid w:val="0075439A"/>
    <w:rsid w:val="00755B78"/>
    <w:rsid w:val="00757EEB"/>
    <w:rsid w:val="007603A3"/>
    <w:rsid w:val="00762A13"/>
    <w:rsid w:val="00765D05"/>
    <w:rsid w:val="00772C62"/>
    <w:rsid w:val="00774BDD"/>
    <w:rsid w:val="00776AA6"/>
    <w:rsid w:val="00785036"/>
    <w:rsid w:val="00785254"/>
    <w:rsid w:val="007945D3"/>
    <w:rsid w:val="00794E01"/>
    <w:rsid w:val="007A125A"/>
    <w:rsid w:val="007B0190"/>
    <w:rsid w:val="007B130F"/>
    <w:rsid w:val="007B56D7"/>
    <w:rsid w:val="007B6512"/>
    <w:rsid w:val="007C67A7"/>
    <w:rsid w:val="007D2546"/>
    <w:rsid w:val="007D387B"/>
    <w:rsid w:val="007D7DD6"/>
    <w:rsid w:val="007E6687"/>
    <w:rsid w:val="007F3793"/>
    <w:rsid w:val="007F3A08"/>
    <w:rsid w:val="007F698B"/>
    <w:rsid w:val="008004D9"/>
    <w:rsid w:val="008117C6"/>
    <w:rsid w:val="008142DC"/>
    <w:rsid w:val="008156BB"/>
    <w:rsid w:val="00817AF1"/>
    <w:rsid w:val="008230B7"/>
    <w:rsid w:val="00827D6A"/>
    <w:rsid w:val="00830C58"/>
    <w:rsid w:val="00833AFA"/>
    <w:rsid w:val="008511CD"/>
    <w:rsid w:val="0085383C"/>
    <w:rsid w:val="008538D7"/>
    <w:rsid w:val="008665B6"/>
    <w:rsid w:val="00872D0E"/>
    <w:rsid w:val="00875F41"/>
    <w:rsid w:val="00876033"/>
    <w:rsid w:val="00880CE1"/>
    <w:rsid w:val="008832AC"/>
    <w:rsid w:val="00887891"/>
    <w:rsid w:val="00894E55"/>
    <w:rsid w:val="008A1011"/>
    <w:rsid w:val="008A3857"/>
    <w:rsid w:val="008A7A60"/>
    <w:rsid w:val="008C0ED8"/>
    <w:rsid w:val="008D13EC"/>
    <w:rsid w:val="008D254F"/>
    <w:rsid w:val="008E60D3"/>
    <w:rsid w:val="008F1702"/>
    <w:rsid w:val="008F1AD5"/>
    <w:rsid w:val="00900191"/>
    <w:rsid w:val="00900BBF"/>
    <w:rsid w:val="00915F75"/>
    <w:rsid w:val="00921330"/>
    <w:rsid w:val="00924CA7"/>
    <w:rsid w:val="009258E5"/>
    <w:rsid w:val="00925DCB"/>
    <w:rsid w:val="0092755D"/>
    <w:rsid w:val="00930ADF"/>
    <w:rsid w:val="009310C2"/>
    <w:rsid w:val="009326F8"/>
    <w:rsid w:val="00934D22"/>
    <w:rsid w:val="00935691"/>
    <w:rsid w:val="00936A95"/>
    <w:rsid w:val="00942178"/>
    <w:rsid w:val="00943005"/>
    <w:rsid w:val="00955717"/>
    <w:rsid w:val="00956D14"/>
    <w:rsid w:val="00957612"/>
    <w:rsid w:val="009614D7"/>
    <w:rsid w:val="009618A9"/>
    <w:rsid w:val="009662C2"/>
    <w:rsid w:val="0098391C"/>
    <w:rsid w:val="00986B8C"/>
    <w:rsid w:val="0099142E"/>
    <w:rsid w:val="00996566"/>
    <w:rsid w:val="00996602"/>
    <w:rsid w:val="009B552B"/>
    <w:rsid w:val="009B5DC3"/>
    <w:rsid w:val="009C1F4A"/>
    <w:rsid w:val="009C6163"/>
    <w:rsid w:val="009C71E2"/>
    <w:rsid w:val="009C7E9A"/>
    <w:rsid w:val="009D16B4"/>
    <w:rsid w:val="009D2A40"/>
    <w:rsid w:val="009D7426"/>
    <w:rsid w:val="009E2B74"/>
    <w:rsid w:val="009E3EE8"/>
    <w:rsid w:val="009E7AD3"/>
    <w:rsid w:val="009E7E0F"/>
    <w:rsid w:val="009F106F"/>
    <w:rsid w:val="009F41E5"/>
    <w:rsid w:val="009F4593"/>
    <w:rsid w:val="009F7C1E"/>
    <w:rsid w:val="00A14431"/>
    <w:rsid w:val="00A1652C"/>
    <w:rsid w:val="00A16958"/>
    <w:rsid w:val="00A17070"/>
    <w:rsid w:val="00A223BD"/>
    <w:rsid w:val="00A31072"/>
    <w:rsid w:val="00A31E84"/>
    <w:rsid w:val="00A33BB2"/>
    <w:rsid w:val="00A344B8"/>
    <w:rsid w:val="00A37861"/>
    <w:rsid w:val="00A40762"/>
    <w:rsid w:val="00A45F34"/>
    <w:rsid w:val="00A475F2"/>
    <w:rsid w:val="00A511DA"/>
    <w:rsid w:val="00A52E11"/>
    <w:rsid w:val="00A556DC"/>
    <w:rsid w:val="00A57B90"/>
    <w:rsid w:val="00A57ED6"/>
    <w:rsid w:val="00A64172"/>
    <w:rsid w:val="00A70603"/>
    <w:rsid w:val="00A72096"/>
    <w:rsid w:val="00A7267D"/>
    <w:rsid w:val="00A762FC"/>
    <w:rsid w:val="00A81C55"/>
    <w:rsid w:val="00A83493"/>
    <w:rsid w:val="00A859F6"/>
    <w:rsid w:val="00A87CE4"/>
    <w:rsid w:val="00A95DC6"/>
    <w:rsid w:val="00A96B7A"/>
    <w:rsid w:val="00A97889"/>
    <w:rsid w:val="00A97B10"/>
    <w:rsid w:val="00AB0A63"/>
    <w:rsid w:val="00AB22E0"/>
    <w:rsid w:val="00AC00D4"/>
    <w:rsid w:val="00AC2720"/>
    <w:rsid w:val="00AC5A58"/>
    <w:rsid w:val="00AC69D8"/>
    <w:rsid w:val="00AC7DEF"/>
    <w:rsid w:val="00AD2030"/>
    <w:rsid w:val="00AD4536"/>
    <w:rsid w:val="00AD6058"/>
    <w:rsid w:val="00AD647C"/>
    <w:rsid w:val="00AD7E4C"/>
    <w:rsid w:val="00AE1A70"/>
    <w:rsid w:val="00AE258F"/>
    <w:rsid w:val="00AE4894"/>
    <w:rsid w:val="00AE5420"/>
    <w:rsid w:val="00AE6844"/>
    <w:rsid w:val="00AF3122"/>
    <w:rsid w:val="00B01B54"/>
    <w:rsid w:val="00B02724"/>
    <w:rsid w:val="00B1273B"/>
    <w:rsid w:val="00B12A13"/>
    <w:rsid w:val="00B200D4"/>
    <w:rsid w:val="00B21C01"/>
    <w:rsid w:val="00B22635"/>
    <w:rsid w:val="00B32AC8"/>
    <w:rsid w:val="00B331E2"/>
    <w:rsid w:val="00B35D4F"/>
    <w:rsid w:val="00B474B0"/>
    <w:rsid w:val="00B47AC9"/>
    <w:rsid w:val="00B500DD"/>
    <w:rsid w:val="00B549A1"/>
    <w:rsid w:val="00B56277"/>
    <w:rsid w:val="00B64D51"/>
    <w:rsid w:val="00B70C61"/>
    <w:rsid w:val="00B763A9"/>
    <w:rsid w:val="00B80FEA"/>
    <w:rsid w:val="00B932B9"/>
    <w:rsid w:val="00B934C5"/>
    <w:rsid w:val="00B93FAC"/>
    <w:rsid w:val="00B94C23"/>
    <w:rsid w:val="00BA2276"/>
    <w:rsid w:val="00BA2A3F"/>
    <w:rsid w:val="00BA3F53"/>
    <w:rsid w:val="00BA6090"/>
    <w:rsid w:val="00BA7EA7"/>
    <w:rsid w:val="00BB1C12"/>
    <w:rsid w:val="00BC2292"/>
    <w:rsid w:val="00BD02E3"/>
    <w:rsid w:val="00BD2337"/>
    <w:rsid w:val="00BD4DF8"/>
    <w:rsid w:val="00BE16B7"/>
    <w:rsid w:val="00BE1D0E"/>
    <w:rsid w:val="00BE35F2"/>
    <w:rsid w:val="00BF09FF"/>
    <w:rsid w:val="00BF4A46"/>
    <w:rsid w:val="00BF6F3E"/>
    <w:rsid w:val="00C01917"/>
    <w:rsid w:val="00C028A1"/>
    <w:rsid w:val="00C0363C"/>
    <w:rsid w:val="00C07D65"/>
    <w:rsid w:val="00C2309B"/>
    <w:rsid w:val="00C309C7"/>
    <w:rsid w:val="00C34147"/>
    <w:rsid w:val="00C34EAA"/>
    <w:rsid w:val="00C40C45"/>
    <w:rsid w:val="00C50454"/>
    <w:rsid w:val="00C50D69"/>
    <w:rsid w:val="00C5616F"/>
    <w:rsid w:val="00C62574"/>
    <w:rsid w:val="00C6565E"/>
    <w:rsid w:val="00C66D4C"/>
    <w:rsid w:val="00C70698"/>
    <w:rsid w:val="00C729BC"/>
    <w:rsid w:val="00C7347B"/>
    <w:rsid w:val="00C87798"/>
    <w:rsid w:val="00CA52F9"/>
    <w:rsid w:val="00CA7879"/>
    <w:rsid w:val="00CA7C03"/>
    <w:rsid w:val="00CB4B57"/>
    <w:rsid w:val="00CB7D33"/>
    <w:rsid w:val="00CC1879"/>
    <w:rsid w:val="00CC5FDF"/>
    <w:rsid w:val="00CC7036"/>
    <w:rsid w:val="00CD0FF9"/>
    <w:rsid w:val="00CD2808"/>
    <w:rsid w:val="00CD2F03"/>
    <w:rsid w:val="00CD3888"/>
    <w:rsid w:val="00CD400A"/>
    <w:rsid w:val="00CD5E00"/>
    <w:rsid w:val="00CD7053"/>
    <w:rsid w:val="00CD71C0"/>
    <w:rsid w:val="00CE3941"/>
    <w:rsid w:val="00CE782F"/>
    <w:rsid w:val="00CF1585"/>
    <w:rsid w:val="00CF1795"/>
    <w:rsid w:val="00CF78C6"/>
    <w:rsid w:val="00D04E33"/>
    <w:rsid w:val="00D05A22"/>
    <w:rsid w:val="00D07B0F"/>
    <w:rsid w:val="00D17255"/>
    <w:rsid w:val="00D20BEA"/>
    <w:rsid w:val="00D230A0"/>
    <w:rsid w:val="00D2520F"/>
    <w:rsid w:val="00D25D55"/>
    <w:rsid w:val="00D26943"/>
    <w:rsid w:val="00D3371C"/>
    <w:rsid w:val="00D33CD1"/>
    <w:rsid w:val="00D33EB6"/>
    <w:rsid w:val="00D41D38"/>
    <w:rsid w:val="00D42375"/>
    <w:rsid w:val="00D426A2"/>
    <w:rsid w:val="00D42F53"/>
    <w:rsid w:val="00D5140A"/>
    <w:rsid w:val="00D527B1"/>
    <w:rsid w:val="00D5296C"/>
    <w:rsid w:val="00D52F8B"/>
    <w:rsid w:val="00D54655"/>
    <w:rsid w:val="00D55B06"/>
    <w:rsid w:val="00D642C6"/>
    <w:rsid w:val="00D66B47"/>
    <w:rsid w:val="00D67FD5"/>
    <w:rsid w:val="00D70A0B"/>
    <w:rsid w:val="00D70F66"/>
    <w:rsid w:val="00D873CF"/>
    <w:rsid w:val="00D976AC"/>
    <w:rsid w:val="00DA4466"/>
    <w:rsid w:val="00DB2A1C"/>
    <w:rsid w:val="00DB3A94"/>
    <w:rsid w:val="00DC6322"/>
    <w:rsid w:val="00DC6589"/>
    <w:rsid w:val="00DC69F1"/>
    <w:rsid w:val="00DD2970"/>
    <w:rsid w:val="00DD2FC7"/>
    <w:rsid w:val="00DE03DF"/>
    <w:rsid w:val="00DE090D"/>
    <w:rsid w:val="00DF04E5"/>
    <w:rsid w:val="00E00A7E"/>
    <w:rsid w:val="00E01E68"/>
    <w:rsid w:val="00E1084F"/>
    <w:rsid w:val="00E133E5"/>
    <w:rsid w:val="00E17FF8"/>
    <w:rsid w:val="00E217E7"/>
    <w:rsid w:val="00E22193"/>
    <w:rsid w:val="00E22689"/>
    <w:rsid w:val="00E2509E"/>
    <w:rsid w:val="00E27F2B"/>
    <w:rsid w:val="00E334DD"/>
    <w:rsid w:val="00E4096A"/>
    <w:rsid w:val="00E540D2"/>
    <w:rsid w:val="00E54187"/>
    <w:rsid w:val="00E610AF"/>
    <w:rsid w:val="00E7123C"/>
    <w:rsid w:val="00E75E71"/>
    <w:rsid w:val="00E76DDB"/>
    <w:rsid w:val="00E777FD"/>
    <w:rsid w:val="00E80E01"/>
    <w:rsid w:val="00E86092"/>
    <w:rsid w:val="00E93909"/>
    <w:rsid w:val="00EA11EC"/>
    <w:rsid w:val="00EA32AE"/>
    <w:rsid w:val="00EA6B94"/>
    <w:rsid w:val="00EA7EA1"/>
    <w:rsid w:val="00EB24F4"/>
    <w:rsid w:val="00EB7C7E"/>
    <w:rsid w:val="00EC4129"/>
    <w:rsid w:val="00EC7D4F"/>
    <w:rsid w:val="00ED6494"/>
    <w:rsid w:val="00ED7701"/>
    <w:rsid w:val="00EE05D5"/>
    <w:rsid w:val="00EE0CA0"/>
    <w:rsid w:val="00EE0DA7"/>
    <w:rsid w:val="00EE747B"/>
    <w:rsid w:val="00EF4273"/>
    <w:rsid w:val="00EF7078"/>
    <w:rsid w:val="00F029B4"/>
    <w:rsid w:val="00F06490"/>
    <w:rsid w:val="00F0754F"/>
    <w:rsid w:val="00F106D9"/>
    <w:rsid w:val="00F107CE"/>
    <w:rsid w:val="00F32425"/>
    <w:rsid w:val="00F4069A"/>
    <w:rsid w:val="00F4676C"/>
    <w:rsid w:val="00F50B30"/>
    <w:rsid w:val="00F6076A"/>
    <w:rsid w:val="00F60DD4"/>
    <w:rsid w:val="00F62DA5"/>
    <w:rsid w:val="00F6319D"/>
    <w:rsid w:val="00F63770"/>
    <w:rsid w:val="00F650DD"/>
    <w:rsid w:val="00F660D1"/>
    <w:rsid w:val="00F66316"/>
    <w:rsid w:val="00F6786A"/>
    <w:rsid w:val="00F67CD1"/>
    <w:rsid w:val="00F73490"/>
    <w:rsid w:val="00F74268"/>
    <w:rsid w:val="00F91E46"/>
    <w:rsid w:val="00F962DB"/>
    <w:rsid w:val="00FA343C"/>
    <w:rsid w:val="00FB654D"/>
    <w:rsid w:val="00FB72F7"/>
    <w:rsid w:val="00FC5501"/>
    <w:rsid w:val="00FD05A1"/>
    <w:rsid w:val="00FE676A"/>
    <w:rsid w:val="00FE6C8B"/>
    <w:rsid w:val="00FF07CA"/>
    <w:rsid w:val="00FF098F"/>
    <w:rsid w:val="00FF2E0D"/>
    <w:rsid w:val="00FF2F1C"/>
    <w:rsid w:val="00FF3BCB"/>
    <w:rsid w:val="00FF67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C47415-D739-44AD-8FC6-B4FAB6B7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DF"/>
    <w:pPr>
      <w:spacing w:after="200" w:line="276" w:lineRule="auto"/>
      <w:ind w:firstLine="720"/>
      <w:jc w:val="both"/>
    </w:pPr>
    <w:rPr>
      <w:rFonts w:ascii="Times New Roman" w:hAnsi="Times New Roman"/>
      <w:sz w:val="24"/>
      <w:lang w:eastAsia="en-US"/>
    </w:rPr>
  </w:style>
  <w:style w:type="paragraph" w:styleId="Heading3">
    <w:name w:val="heading 3"/>
    <w:basedOn w:val="Normal"/>
    <w:next w:val="Normal"/>
    <w:link w:val="Heading3Char"/>
    <w:uiPriority w:val="99"/>
    <w:qFormat/>
    <w:rsid w:val="009F41E5"/>
    <w:pPr>
      <w:keepNext/>
      <w:keepLines/>
      <w:spacing w:before="40" w:after="0"/>
      <w:outlineLvl w:val="2"/>
    </w:pPr>
    <w:rPr>
      <w:szCs w:val="24"/>
      <w:lang w:eastAsia="bg-BG"/>
    </w:rPr>
  </w:style>
  <w:style w:type="paragraph" w:styleId="Heading9">
    <w:name w:val="heading 9"/>
    <w:basedOn w:val="Normal"/>
    <w:next w:val="Normal"/>
    <w:link w:val="Heading9Char"/>
    <w:uiPriority w:val="99"/>
    <w:qFormat/>
    <w:rsid w:val="00C729BC"/>
    <w:pPr>
      <w:keepNext/>
      <w:keepLines/>
      <w:spacing w:before="40" w:after="0"/>
      <w:outlineLvl w:val="8"/>
    </w:pPr>
    <w:rPr>
      <w:rFonts w:ascii="Calibri Light" w:hAnsi="Calibri Light"/>
      <w:i/>
      <w:iCs/>
      <w:color w:val="272727"/>
      <w:sz w:val="21"/>
      <w:szCs w:val="21"/>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F41E5"/>
    <w:rPr>
      <w:rFonts w:ascii="Times New Roman" w:hAnsi="Times New Roman" w:cs="Times New Roman"/>
      <w:sz w:val="24"/>
      <w:lang w:val="bg-BG"/>
    </w:rPr>
  </w:style>
  <w:style w:type="character" w:customStyle="1" w:styleId="Heading9Char">
    <w:name w:val="Heading 9 Char"/>
    <w:basedOn w:val="DefaultParagraphFont"/>
    <w:link w:val="Heading9"/>
    <w:uiPriority w:val="99"/>
    <w:semiHidden/>
    <w:locked/>
    <w:rsid w:val="00C729BC"/>
    <w:rPr>
      <w:rFonts w:ascii="Calibri Light" w:hAnsi="Calibri Light" w:cs="Times New Roman"/>
      <w:i/>
      <w:color w:val="272727"/>
      <w:sz w:val="21"/>
      <w:lang w:val="bg-BG"/>
    </w:rPr>
  </w:style>
  <w:style w:type="character" w:customStyle="1" w:styleId="2">
    <w:name w:val="Основной текст (2)_"/>
    <w:link w:val="20"/>
    <w:uiPriority w:val="99"/>
    <w:locked/>
    <w:rsid w:val="00A57B90"/>
    <w:rPr>
      <w:rFonts w:ascii="Times New Roman" w:hAnsi="Times New Roman"/>
      <w:b/>
      <w:sz w:val="23"/>
      <w:shd w:val="clear" w:color="auto" w:fill="FFFFFF"/>
    </w:rPr>
  </w:style>
  <w:style w:type="character" w:customStyle="1" w:styleId="a">
    <w:name w:val="Основной текст + Полужирный"/>
    <w:uiPriority w:val="99"/>
    <w:rsid w:val="00A57B90"/>
    <w:rPr>
      <w:rFonts w:ascii="Times New Roman" w:hAnsi="Times New Roman"/>
      <w:b/>
      <w:color w:val="000000"/>
      <w:spacing w:val="0"/>
      <w:w w:val="100"/>
      <w:position w:val="0"/>
      <w:sz w:val="23"/>
      <w:u w:val="none"/>
      <w:lang w:val="bg-BG" w:eastAsia="bg-BG"/>
    </w:rPr>
  </w:style>
  <w:style w:type="paragraph" w:customStyle="1" w:styleId="20">
    <w:name w:val="Основной текст (2)"/>
    <w:basedOn w:val="Normal"/>
    <w:link w:val="2"/>
    <w:uiPriority w:val="99"/>
    <w:rsid w:val="00A57B90"/>
    <w:pPr>
      <w:widowControl w:val="0"/>
      <w:shd w:val="clear" w:color="auto" w:fill="FFFFFF"/>
      <w:spacing w:before="300" w:after="720" w:line="277" w:lineRule="exact"/>
      <w:ind w:firstLine="0"/>
      <w:jc w:val="center"/>
    </w:pPr>
    <w:rPr>
      <w:b/>
      <w:sz w:val="23"/>
      <w:szCs w:val="20"/>
      <w:lang w:eastAsia="bg-BG"/>
    </w:rPr>
  </w:style>
  <w:style w:type="paragraph" w:styleId="NoSpacing">
    <w:name w:val="No Spacing"/>
    <w:uiPriority w:val="99"/>
    <w:qFormat/>
    <w:rsid w:val="00A57B90"/>
    <w:pPr>
      <w:widowControl w:val="0"/>
    </w:pPr>
    <w:rPr>
      <w:rFonts w:ascii="Courier New" w:hAnsi="Courier New" w:cs="Courier New"/>
      <w:color w:val="000000"/>
      <w:sz w:val="24"/>
      <w:szCs w:val="24"/>
    </w:rPr>
  </w:style>
  <w:style w:type="paragraph" w:styleId="ListParagraph">
    <w:name w:val="List Paragraph"/>
    <w:basedOn w:val="Normal"/>
    <w:uiPriority w:val="99"/>
    <w:qFormat/>
    <w:rsid w:val="00A57B90"/>
    <w:pPr>
      <w:ind w:left="720"/>
      <w:contextualSpacing/>
    </w:pPr>
  </w:style>
  <w:style w:type="character" w:styleId="Hyperlink">
    <w:name w:val="Hyperlink"/>
    <w:basedOn w:val="DefaultParagraphFont"/>
    <w:uiPriority w:val="99"/>
    <w:rsid w:val="0042071E"/>
    <w:rPr>
      <w:rFonts w:cs="Times New Roman"/>
      <w:color w:val="000000"/>
      <w:u w:val="none"/>
      <w:effect w:val="none"/>
    </w:rPr>
  </w:style>
  <w:style w:type="character" w:customStyle="1" w:styleId="4">
    <w:name w:val="Основной текст (4)_"/>
    <w:link w:val="40"/>
    <w:uiPriority w:val="99"/>
    <w:locked/>
    <w:rsid w:val="002671D5"/>
    <w:rPr>
      <w:rFonts w:ascii="Times New Roman" w:hAnsi="Times New Roman"/>
      <w:sz w:val="23"/>
      <w:shd w:val="clear" w:color="auto" w:fill="FFFFFF"/>
    </w:rPr>
  </w:style>
  <w:style w:type="paragraph" w:customStyle="1" w:styleId="40">
    <w:name w:val="Основной текст (4)"/>
    <w:basedOn w:val="Normal"/>
    <w:link w:val="4"/>
    <w:uiPriority w:val="99"/>
    <w:rsid w:val="002671D5"/>
    <w:pPr>
      <w:widowControl w:val="0"/>
      <w:shd w:val="clear" w:color="auto" w:fill="FFFFFF"/>
      <w:spacing w:before="240" w:after="0" w:line="266" w:lineRule="exact"/>
      <w:ind w:firstLine="340"/>
      <w:jc w:val="left"/>
    </w:pPr>
    <w:rPr>
      <w:sz w:val="23"/>
      <w:szCs w:val="20"/>
      <w:lang w:eastAsia="bg-BG"/>
    </w:rPr>
  </w:style>
  <w:style w:type="paragraph" w:styleId="Header">
    <w:name w:val="header"/>
    <w:basedOn w:val="Normal"/>
    <w:link w:val="HeaderChar"/>
    <w:uiPriority w:val="99"/>
    <w:rsid w:val="002671D5"/>
    <w:pPr>
      <w:widowControl w:val="0"/>
      <w:tabs>
        <w:tab w:val="center" w:pos="4536"/>
        <w:tab w:val="right" w:pos="9072"/>
      </w:tabs>
      <w:spacing w:after="0" w:line="240" w:lineRule="auto"/>
      <w:ind w:firstLine="0"/>
      <w:jc w:val="left"/>
    </w:pPr>
    <w:rPr>
      <w:rFonts w:ascii="Courier New" w:eastAsia="Times New Roman" w:hAnsi="Courier New"/>
      <w:color w:val="000000"/>
      <w:szCs w:val="24"/>
      <w:lang w:eastAsia="bg-BG"/>
    </w:rPr>
  </w:style>
  <w:style w:type="character" w:customStyle="1" w:styleId="HeaderChar">
    <w:name w:val="Header Char"/>
    <w:basedOn w:val="DefaultParagraphFont"/>
    <w:link w:val="Header"/>
    <w:uiPriority w:val="99"/>
    <w:locked/>
    <w:rsid w:val="002671D5"/>
    <w:rPr>
      <w:rFonts w:ascii="Courier New" w:hAnsi="Courier New" w:cs="Times New Roman"/>
      <w:color w:val="000000"/>
      <w:sz w:val="24"/>
      <w:lang w:val="bg-BG" w:eastAsia="bg-BG"/>
    </w:rPr>
  </w:style>
  <w:style w:type="paragraph" w:styleId="Footer">
    <w:name w:val="footer"/>
    <w:basedOn w:val="Normal"/>
    <w:link w:val="FooterChar"/>
    <w:uiPriority w:val="99"/>
    <w:rsid w:val="002671D5"/>
    <w:pPr>
      <w:widowControl w:val="0"/>
      <w:tabs>
        <w:tab w:val="center" w:pos="4536"/>
        <w:tab w:val="right" w:pos="9072"/>
      </w:tabs>
      <w:spacing w:after="0" w:line="240" w:lineRule="auto"/>
      <w:ind w:firstLine="0"/>
      <w:jc w:val="left"/>
    </w:pPr>
    <w:rPr>
      <w:rFonts w:ascii="Courier New" w:eastAsia="Times New Roman" w:hAnsi="Courier New"/>
      <w:color w:val="000000"/>
      <w:szCs w:val="24"/>
      <w:lang w:eastAsia="bg-BG"/>
    </w:rPr>
  </w:style>
  <w:style w:type="character" w:customStyle="1" w:styleId="FooterChar">
    <w:name w:val="Footer Char"/>
    <w:basedOn w:val="DefaultParagraphFont"/>
    <w:link w:val="Footer"/>
    <w:uiPriority w:val="99"/>
    <w:locked/>
    <w:rsid w:val="002671D5"/>
    <w:rPr>
      <w:rFonts w:ascii="Courier New" w:hAnsi="Courier New" w:cs="Times New Roman"/>
      <w:color w:val="000000"/>
      <w:sz w:val="24"/>
      <w:lang w:val="bg-BG" w:eastAsia="bg-BG"/>
    </w:rPr>
  </w:style>
  <w:style w:type="character" w:customStyle="1" w:styleId="FontStyle36">
    <w:name w:val="Font Style36"/>
    <w:uiPriority w:val="99"/>
    <w:rsid w:val="000D7469"/>
    <w:rPr>
      <w:rFonts w:ascii="Times New Roman" w:hAnsi="Times New Roman"/>
      <w:sz w:val="16"/>
    </w:rPr>
  </w:style>
  <w:style w:type="paragraph" w:styleId="BalloonText">
    <w:name w:val="Balloon Text"/>
    <w:basedOn w:val="Normal"/>
    <w:link w:val="BalloonTextChar"/>
    <w:uiPriority w:val="99"/>
    <w:semiHidden/>
    <w:rsid w:val="00460802"/>
    <w:pPr>
      <w:spacing w:after="0" w:line="240" w:lineRule="auto"/>
    </w:pPr>
    <w:rPr>
      <w:rFonts w:ascii="Segoe UI" w:hAnsi="Segoe UI"/>
      <w:sz w:val="18"/>
      <w:szCs w:val="18"/>
      <w:lang w:eastAsia="bg-BG"/>
    </w:rPr>
  </w:style>
  <w:style w:type="character" w:customStyle="1" w:styleId="BalloonTextChar">
    <w:name w:val="Balloon Text Char"/>
    <w:basedOn w:val="DefaultParagraphFont"/>
    <w:link w:val="BalloonText"/>
    <w:uiPriority w:val="99"/>
    <w:semiHidden/>
    <w:locked/>
    <w:rsid w:val="00460802"/>
    <w:rPr>
      <w:rFonts w:ascii="Segoe UI" w:hAnsi="Segoe UI" w:cs="Times New Roman"/>
      <w:sz w:val="18"/>
      <w:lang w:val="bg-BG"/>
    </w:rPr>
  </w:style>
  <w:style w:type="character" w:customStyle="1" w:styleId="DeltaViewInsertion">
    <w:name w:val="DeltaView Insertion"/>
    <w:uiPriority w:val="99"/>
    <w:rsid w:val="00A83493"/>
    <w:rPr>
      <w:b/>
      <w:color w:val="000000"/>
      <w:spacing w:val="0"/>
      <w:u w:val="double"/>
    </w:rPr>
  </w:style>
  <w:style w:type="paragraph" w:styleId="BodyText">
    <w:name w:val="Body Text"/>
    <w:basedOn w:val="Normal"/>
    <w:link w:val="BodyTextChar"/>
    <w:uiPriority w:val="99"/>
    <w:rsid w:val="00A83493"/>
    <w:pPr>
      <w:suppressAutoHyphens/>
      <w:spacing w:after="120" w:line="240" w:lineRule="auto"/>
      <w:ind w:firstLine="0"/>
    </w:pPr>
    <w:rPr>
      <w:szCs w:val="24"/>
      <w:lang w:val="en-GB" w:eastAsia="ar-SA"/>
    </w:rPr>
  </w:style>
  <w:style w:type="character" w:customStyle="1" w:styleId="BodyTextChar">
    <w:name w:val="Body Text Char"/>
    <w:basedOn w:val="DefaultParagraphFont"/>
    <w:link w:val="BodyText"/>
    <w:uiPriority w:val="99"/>
    <w:locked/>
    <w:rsid w:val="00A83493"/>
    <w:rPr>
      <w:rFonts w:ascii="Times New Roman" w:hAnsi="Times New Roman" w:cs="Times New Roman"/>
      <w:sz w:val="24"/>
      <w:lang w:val="en-GB" w:eastAsia="ar-SA" w:bidi="ar-SA"/>
    </w:rPr>
  </w:style>
  <w:style w:type="table" w:styleId="TableGrid">
    <w:name w:val="Table Grid"/>
    <w:basedOn w:val="TableNormal"/>
    <w:uiPriority w:val="99"/>
    <w:rsid w:val="006E37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6E37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uiPriority w:val="99"/>
    <w:locked/>
    <w:rsid w:val="00E93909"/>
    <w:rPr>
      <w:rFonts w:ascii="Times New Roman" w:hAnsi="Times New Roman"/>
      <w:b/>
      <w:sz w:val="30"/>
      <w:shd w:val="clear" w:color="auto" w:fill="FFFFFF"/>
    </w:rPr>
  </w:style>
  <w:style w:type="character" w:customStyle="1" w:styleId="a0">
    <w:name w:val="Колонтитул_"/>
    <w:uiPriority w:val="99"/>
    <w:rsid w:val="00E93909"/>
    <w:rPr>
      <w:rFonts w:ascii="Lucida Sans Unicode" w:hAnsi="Lucida Sans Unicode"/>
      <w:sz w:val="21"/>
      <w:u w:val="none"/>
    </w:rPr>
  </w:style>
  <w:style w:type="character" w:customStyle="1" w:styleId="a1">
    <w:name w:val="Колонтитул"/>
    <w:uiPriority w:val="99"/>
    <w:rsid w:val="00E93909"/>
    <w:rPr>
      <w:rFonts w:ascii="Lucida Sans Unicode" w:hAnsi="Lucida Sans Unicode"/>
      <w:color w:val="000000"/>
      <w:spacing w:val="0"/>
      <w:w w:val="100"/>
      <w:position w:val="0"/>
      <w:sz w:val="21"/>
      <w:u w:val="none"/>
      <w:lang w:val="bg-BG" w:eastAsia="bg-BG"/>
    </w:rPr>
  </w:style>
  <w:style w:type="character" w:customStyle="1" w:styleId="21">
    <w:name w:val="Заголовок №2_"/>
    <w:link w:val="22"/>
    <w:uiPriority w:val="99"/>
    <w:locked/>
    <w:rsid w:val="00E93909"/>
    <w:rPr>
      <w:rFonts w:ascii="Times New Roman" w:hAnsi="Times New Roman"/>
      <w:sz w:val="34"/>
      <w:shd w:val="clear" w:color="auto" w:fill="FFFFFF"/>
    </w:rPr>
  </w:style>
  <w:style w:type="character" w:customStyle="1" w:styleId="a2">
    <w:name w:val="Основной текст_"/>
    <w:link w:val="a3"/>
    <w:uiPriority w:val="99"/>
    <w:locked/>
    <w:rsid w:val="00E93909"/>
    <w:rPr>
      <w:rFonts w:ascii="Times New Roman" w:hAnsi="Times New Roman"/>
      <w:sz w:val="23"/>
      <w:shd w:val="clear" w:color="auto" w:fill="FFFFFF"/>
    </w:rPr>
  </w:style>
  <w:style w:type="character" w:customStyle="1" w:styleId="23">
    <w:name w:val="Основной текст (2) + Не полужирный"/>
    <w:uiPriority w:val="99"/>
    <w:rsid w:val="00E93909"/>
    <w:rPr>
      <w:rFonts w:ascii="Times New Roman" w:hAnsi="Times New Roman"/>
      <w:b/>
      <w:color w:val="000000"/>
      <w:spacing w:val="0"/>
      <w:w w:val="100"/>
      <w:position w:val="0"/>
      <w:sz w:val="23"/>
      <w:shd w:val="clear" w:color="auto" w:fill="FFFFFF"/>
      <w:lang w:val="bg-BG" w:eastAsia="bg-BG"/>
    </w:rPr>
  </w:style>
  <w:style w:type="character" w:customStyle="1" w:styleId="3">
    <w:name w:val="Основной текст (3)_"/>
    <w:link w:val="30"/>
    <w:uiPriority w:val="99"/>
    <w:locked/>
    <w:rsid w:val="00E93909"/>
    <w:rPr>
      <w:rFonts w:ascii="Times New Roman" w:hAnsi="Times New Roman"/>
      <w:b/>
      <w:sz w:val="26"/>
      <w:shd w:val="clear" w:color="auto" w:fill="FFFFFF"/>
    </w:rPr>
  </w:style>
  <w:style w:type="paragraph" w:customStyle="1" w:styleId="10">
    <w:name w:val="Заголовок №1"/>
    <w:basedOn w:val="Normal"/>
    <w:link w:val="1"/>
    <w:uiPriority w:val="99"/>
    <w:rsid w:val="00E93909"/>
    <w:pPr>
      <w:widowControl w:val="0"/>
      <w:shd w:val="clear" w:color="auto" w:fill="FFFFFF"/>
      <w:spacing w:after="300" w:line="240" w:lineRule="atLeast"/>
      <w:ind w:firstLine="0"/>
      <w:jc w:val="center"/>
      <w:outlineLvl w:val="0"/>
    </w:pPr>
    <w:rPr>
      <w:b/>
      <w:sz w:val="30"/>
      <w:szCs w:val="20"/>
      <w:lang w:eastAsia="bg-BG"/>
    </w:rPr>
  </w:style>
  <w:style w:type="paragraph" w:customStyle="1" w:styleId="22">
    <w:name w:val="Заголовок №2"/>
    <w:basedOn w:val="Normal"/>
    <w:link w:val="21"/>
    <w:uiPriority w:val="99"/>
    <w:rsid w:val="00E93909"/>
    <w:pPr>
      <w:widowControl w:val="0"/>
      <w:shd w:val="clear" w:color="auto" w:fill="FFFFFF"/>
      <w:spacing w:before="300" w:after="300" w:line="240" w:lineRule="atLeast"/>
      <w:ind w:firstLine="0"/>
      <w:jc w:val="center"/>
      <w:outlineLvl w:val="1"/>
    </w:pPr>
    <w:rPr>
      <w:sz w:val="34"/>
      <w:szCs w:val="20"/>
      <w:lang w:eastAsia="bg-BG"/>
    </w:rPr>
  </w:style>
  <w:style w:type="paragraph" w:customStyle="1" w:styleId="a3">
    <w:name w:val="Основной текст"/>
    <w:basedOn w:val="Normal"/>
    <w:link w:val="a2"/>
    <w:uiPriority w:val="99"/>
    <w:rsid w:val="00E93909"/>
    <w:pPr>
      <w:widowControl w:val="0"/>
      <w:shd w:val="clear" w:color="auto" w:fill="FFFFFF"/>
      <w:spacing w:before="420" w:after="600" w:line="274" w:lineRule="exact"/>
      <w:ind w:hanging="900"/>
    </w:pPr>
    <w:rPr>
      <w:sz w:val="23"/>
      <w:szCs w:val="20"/>
      <w:lang w:eastAsia="bg-BG"/>
    </w:rPr>
  </w:style>
  <w:style w:type="paragraph" w:customStyle="1" w:styleId="30">
    <w:name w:val="Основной текст (3)"/>
    <w:basedOn w:val="Normal"/>
    <w:link w:val="3"/>
    <w:uiPriority w:val="99"/>
    <w:rsid w:val="00E93909"/>
    <w:pPr>
      <w:widowControl w:val="0"/>
      <w:shd w:val="clear" w:color="auto" w:fill="FFFFFF"/>
      <w:spacing w:before="720" w:after="0" w:line="443" w:lineRule="exact"/>
      <w:ind w:firstLine="0"/>
      <w:jc w:val="center"/>
    </w:pPr>
    <w:rPr>
      <w:b/>
      <w:sz w:val="26"/>
      <w:szCs w:val="20"/>
      <w:lang w:eastAsia="bg-BG"/>
    </w:rPr>
  </w:style>
  <w:style w:type="paragraph" w:styleId="Revision">
    <w:name w:val="Revision"/>
    <w:hidden/>
    <w:uiPriority w:val="99"/>
    <w:semiHidden/>
    <w:rsid w:val="00447B59"/>
    <w:rPr>
      <w:rFonts w:ascii="Times New Roman" w:hAnsi="Times New Roman"/>
      <w:sz w:val="24"/>
      <w:lang w:eastAsia="en-US"/>
    </w:rPr>
  </w:style>
  <w:style w:type="character" w:styleId="CommentReference">
    <w:name w:val="annotation reference"/>
    <w:basedOn w:val="DefaultParagraphFont"/>
    <w:uiPriority w:val="99"/>
    <w:semiHidden/>
    <w:rsid w:val="00DD2FC7"/>
    <w:rPr>
      <w:rFonts w:cs="Times New Roman"/>
      <w:sz w:val="16"/>
    </w:rPr>
  </w:style>
  <w:style w:type="paragraph" w:styleId="CommentText">
    <w:name w:val="annotation text"/>
    <w:basedOn w:val="Normal"/>
    <w:link w:val="CommentTextChar"/>
    <w:uiPriority w:val="99"/>
    <w:semiHidden/>
    <w:rsid w:val="00DD2FC7"/>
    <w:pPr>
      <w:spacing w:line="240" w:lineRule="auto"/>
    </w:pPr>
    <w:rPr>
      <w:sz w:val="20"/>
      <w:szCs w:val="20"/>
      <w:lang w:eastAsia="bg-BG"/>
    </w:rPr>
  </w:style>
  <w:style w:type="character" w:customStyle="1" w:styleId="CommentTextChar">
    <w:name w:val="Comment Text Char"/>
    <w:basedOn w:val="DefaultParagraphFont"/>
    <w:link w:val="CommentText"/>
    <w:uiPriority w:val="99"/>
    <w:semiHidden/>
    <w:locked/>
    <w:rsid w:val="00DD2FC7"/>
    <w:rPr>
      <w:rFonts w:ascii="Times New Roman" w:hAnsi="Times New Roman" w:cs="Times New Roman"/>
      <w:sz w:val="20"/>
      <w:lang w:val="bg-BG"/>
    </w:rPr>
  </w:style>
  <w:style w:type="paragraph" w:styleId="CommentSubject">
    <w:name w:val="annotation subject"/>
    <w:basedOn w:val="CommentText"/>
    <w:next w:val="CommentText"/>
    <w:link w:val="CommentSubjectChar"/>
    <w:uiPriority w:val="99"/>
    <w:semiHidden/>
    <w:rsid w:val="00DD2FC7"/>
    <w:rPr>
      <w:b/>
      <w:bCs/>
    </w:rPr>
  </w:style>
  <w:style w:type="character" w:customStyle="1" w:styleId="CommentSubjectChar">
    <w:name w:val="Comment Subject Char"/>
    <w:basedOn w:val="CommentTextChar"/>
    <w:link w:val="CommentSubject"/>
    <w:uiPriority w:val="99"/>
    <w:semiHidden/>
    <w:locked/>
    <w:rsid w:val="00DD2FC7"/>
    <w:rPr>
      <w:rFonts w:ascii="Times New Roman" w:hAnsi="Times New Roman" w:cs="Times New Roman"/>
      <w:b/>
      <w:sz w:val="20"/>
      <w:lang w:val="bg-BG"/>
    </w:rPr>
  </w:style>
  <w:style w:type="paragraph" w:styleId="Title">
    <w:name w:val="Title"/>
    <w:basedOn w:val="Normal"/>
    <w:link w:val="TitleChar"/>
    <w:uiPriority w:val="99"/>
    <w:qFormat/>
    <w:rsid w:val="00C50D69"/>
    <w:pPr>
      <w:autoSpaceDE w:val="0"/>
      <w:autoSpaceDN w:val="0"/>
      <w:adjustRightInd w:val="0"/>
      <w:spacing w:before="240" w:after="240" w:line="240" w:lineRule="auto"/>
      <w:ind w:firstLine="0"/>
      <w:jc w:val="center"/>
    </w:pPr>
    <w:rPr>
      <w:rFonts w:ascii="Cambria" w:hAnsi="Cambria"/>
      <w:b/>
      <w:kern w:val="28"/>
      <w:sz w:val="20"/>
      <w:szCs w:val="20"/>
      <w:lang w:val="en-GB" w:eastAsia="ar-SA"/>
    </w:rPr>
  </w:style>
  <w:style w:type="character" w:customStyle="1" w:styleId="TitleChar">
    <w:name w:val="Title Char"/>
    <w:basedOn w:val="DefaultParagraphFont"/>
    <w:link w:val="Title"/>
    <w:uiPriority w:val="99"/>
    <w:locked/>
    <w:rsid w:val="00C50D69"/>
    <w:rPr>
      <w:rFonts w:ascii="Cambria" w:hAnsi="Cambria" w:cs="Times New Roman"/>
      <w:b/>
      <w:kern w:val="28"/>
      <w:sz w:val="20"/>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07753">
      <w:marLeft w:val="0"/>
      <w:marRight w:val="0"/>
      <w:marTop w:val="0"/>
      <w:marBottom w:val="0"/>
      <w:divBdr>
        <w:top w:val="none" w:sz="0" w:space="0" w:color="auto"/>
        <w:left w:val="none" w:sz="0" w:space="0" w:color="auto"/>
        <w:bottom w:val="none" w:sz="0" w:space="0" w:color="auto"/>
        <w:right w:val="none" w:sz="0" w:space="0" w:color="auto"/>
      </w:divBdr>
    </w:div>
    <w:div w:id="2064407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1890</Words>
  <Characters>10776</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ДОПЪЛНИТЕЛНО СПОРАЗУМЕНИЕ № 1</vt:lpstr>
      <vt:lpstr>ДОПЪЛНИТЕЛНО СПОРАЗУМЕНИЕ № 1</vt:lpstr>
    </vt:vector>
  </TitlesOfParts>
  <Company>Grizli777</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ДОПЪЛНИТЕЛНО СПОРАЗУМЕНИЕ № 1</dc:title>
  <dc:creator>ana</dc:creator>
  <cp:lastModifiedBy>User</cp:lastModifiedBy>
  <cp:revision>2</cp:revision>
  <cp:lastPrinted>2019-01-21T08:38:00Z</cp:lastPrinted>
  <dcterms:created xsi:type="dcterms:W3CDTF">2019-01-21T09:37:00Z</dcterms:created>
  <dcterms:modified xsi:type="dcterms:W3CDTF">2019-01-21T09:37:00Z</dcterms:modified>
</cp:coreProperties>
</file>